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BF6B" w14:textId="77777777" w:rsidR="00400C93" w:rsidRPr="00781E34" w:rsidRDefault="00400C93" w:rsidP="000D5611">
      <w:pPr>
        <w:rPr>
          <w:rFonts w:ascii="Times" w:hAnsi="Times"/>
        </w:rPr>
      </w:pPr>
    </w:p>
    <w:p w14:paraId="7A403513" w14:textId="77777777" w:rsidR="00400C93" w:rsidRPr="00781E34" w:rsidRDefault="00400C93" w:rsidP="000D5611">
      <w:pPr>
        <w:rPr>
          <w:rFonts w:ascii="Times" w:hAnsi="Times"/>
        </w:rPr>
      </w:pPr>
    </w:p>
    <w:p w14:paraId="0C410581" w14:textId="77777777" w:rsidR="00400C93" w:rsidRPr="00781E34" w:rsidRDefault="00400C93" w:rsidP="000D5611">
      <w:pPr>
        <w:rPr>
          <w:rFonts w:ascii="Times" w:hAnsi="Times"/>
        </w:rPr>
      </w:pPr>
    </w:p>
    <w:p w14:paraId="357CD30C" w14:textId="77777777" w:rsidR="00400C93" w:rsidRPr="00781E34" w:rsidRDefault="00400C93" w:rsidP="000D5611">
      <w:pPr>
        <w:rPr>
          <w:rFonts w:ascii="Times" w:hAnsi="Times"/>
        </w:rPr>
      </w:pPr>
    </w:p>
    <w:p w14:paraId="10B93B25" w14:textId="77777777" w:rsidR="00400C93" w:rsidRPr="00781E34" w:rsidRDefault="00400C93" w:rsidP="000D5611">
      <w:pPr>
        <w:rPr>
          <w:rFonts w:ascii="Times" w:hAnsi="Times"/>
        </w:rPr>
      </w:pPr>
    </w:p>
    <w:p w14:paraId="2D1EAE5E" w14:textId="77777777" w:rsidR="00400C93" w:rsidRPr="00781E34" w:rsidRDefault="00400C93" w:rsidP="000D5611">
      <w:pPr>
        <w:rPr>
          <w:rFonts w:ascii="Times" w:hAnsi="Times"/>
        </w:rPr>
      </w:pPr>
    </w:p>
    <w:p w14:paraId="0D142145" w14:textId="77777777" w:rsidR="00400C93" w:rsidRPr="00781E34" w:rsidRDefault="00400C93" w:rsidP="000D5611">
      <w:pPr>
        <w:rPr>
          <w:rFonts w:ascii="Times" w:hAnsi="Times"/>
        </w:rPr>
      </w:pPr>
    </w:p>
    <w:p w14:paraId="584D14BA" w14:textId="49BA82EB" w:rsidR="00E40DDE" w:rsidRPr="00781E34" w:rsidRDefault="00E40DDE" w:rsidP="000D5611">
      <w:pPr>
        <w:rPr>
          <w:rFonts w:ascii="Times" w:hAnsi="Times"/>
        </w:rPr>
      </w:pPr>
      <w:r w:rsidRPr="00781E34">
        <w:rPr>
          <w:rFonts w:ascii="Times" w:hAnsi="Times"/>
        </w:rPr>
        <w:t>October 8, 20</w:t>
      </w:r>
      <w:r w:rsidR="003F0890">
        <w:rPr>
          <w:rFonts w:ascii="Times" w:hAnsi="Times"/>
        </w:rPr>
        <w:t>21</w:t>
      </w:r>
    </w:p>
    <w:p w14:paraId="20211A69" w14:textId="77777777" w:rsidR="009B4BB1" w:rsidRPr="00781E34" w:rsidRDefault="009B4BB1" w:rsidP="000D5611">
      <w:pPr>
        <w:rPr>
          <w:rFonts w:ascii="Times" w:hAnsi="Times"/>
        </w:rPr>
      </w:pPr>
    </w:p>
    <w:p w14:paraId="30FEE4C5" w14:textId="77777777" w:rsidR="009B4BB1" w:rsidRPr="00781E34" w:rsidRDefault="009B4BB1" w:rsidP="000D5611">
      <w:pPr>
        <w:rPr>
          <w:rFonts w:ascii="Times" w:hAnsi="Times"/>
        </w:rPr>
      </w:pPr>
      <w:r w:rsidRPr="00781E34">
        <w:rPr>
          <w:rFonts w:ascii="Times" w:hAnsi="Times"/>
        </w:rPr>
        <w:t>Mr. Hannibal Ware</w:t>
      </w:r>
    </w:p>
    <w:p w14:paraId="3D9B1D01" w14:textId="77777777" w:rsidR="009B4BB1" w:rsidRPr="00781E34" w:rsidRDefault="009B4BB1" w:rsidP="009B4BB1">
      <w:pPr>
        <w:rPr>
          <w:rFonts w:ascii="Times" w:hAnsi="Times"/>
        </w:rPr>
      </w:pPr>
      <w:r w:rsidRPr="00781E34">
        <w:rPr>
          <w:rFonts w:ascii="Times" w:hAnsi="Times"/>
        </w:rPr>
        <w:t>Inspector General</w:t>
      </w:r>
    </w:p>
    <w:p w14:paraId="02B47520" w14:textId="77777777" w:rsidR="00B02BA2" w:rsidRPr="00781E34" w:rsidRDefault="00C44B1E" w:rsidP="000D5611">
      <w:pPr>
        <w:rPr>
          <w:rFonts w:ascii="Times" w:hAnsi="Times"/>
        </w:rPr>
      </w:pPr>
      <w:r w:rsidRPr="00781E34">
        <w:rPr>
          <w:rFonts w:ascii="Times" w:hAnsi="Times"/>
        </w:rPr>
        <w:t>U.S.</w:t>
      </w:r>
      <w:r w:rsidR="008865D3" w:rsidRPr="00781E34">
        <w:rPr>
          <w:rFonts w:ascii="Times" w:hAnsi="Times"/>
        </w:rPr>
        <w:t xml:space="preserve"> Small Business </w:t>
      </w:r>
      <w:r w:rsidR="00B02BA2" w:rsidRPr="00781E34">
        <w:rPr>
          <w:rFonts w:ascii="Times" w:hAnsi="Times"/>
        </w:rPr>
        <w:t>Administration</w:t>
      </w:r>
    </w:p>
    <w:p w14:paraId="5FFE0438" w14:textId="77777777" w:rsidR="008865D3" w:rsidRPr="00781E34" w:rsidRDefault="008865D3" w:rsidP="000D5611">
      <w:pPr>
        <w:rPr>
          <w:rFonts w:ascii="Times" w:hAnsi="Times"/>
        </w:rPr>
      </w:pPr>
      <w:r w:rsidRPr="00781E34">
        <w:rPr>
          <w:rFonts w:ascii="Times" w:hAnsi="Times"/>
        </w:rPr>
        <w:t>Office of 409 3</w:t>
      </w:r>
      <w:r w:rsidRPr="00781E34">
        <w:rPr>
          <w:rFonts w:ascii="Times" w:hAnsi="Times"/>
          <w:vertAlign w:val="superscript"/>
        </w:rPr>
        <w:t>rd</w:t>
      </w:r>
      <w:r w:rsidRPr="00781E34">
        <w:rPr>
          <w:rFonts w:ascii="Times" w:hAnsi="Times"/>
        </w:rPr>
        <w:t xml:space="preserve"> Street, SW</w:t>
      </w:r>
    </w:p>
    <w:p w14:paraId="2EF4D002" w14:textId="77777777" w:rsidR="008865D3" w:rsidRPr="00781E34" w:rsidRDefault="008865D3" w:rsidP="000D5611">
      <w:pPr>
        <w:rPr>
          <w:rFonts w:ascii="Times" w:hAnsi="Times"/>
        </w:rPr>
      </w:pPr>
      <w:r w:rsidRPr="00781E34">
        <w:rPr>
          <w:rFonts w:ascii="Times" w:hAnsi="Times"/>
        </w:rPr>
        <w:t xml:space="preserve"> Suite 7150</w:t>
      </w:r>
    </w:p>
    <w:p w14:paraId="00DCAA48" w14:textId="77777777" w:rsidR="00400C93" w:rsidRPr="00781E34" w:rsidRDefault="008865D3" w:rsidP="000D5611">
      <w:pPr>
        <w:rPr>
          <w:rFonts w:ascii="Times" w:hAnsi="Times"/>
        </w:rPr>
      </w:pPr>
      <w:r w:rsidRPr="00781E34">
        <w:rPr>
          <w:rFonts w:ascii="Times" w:hAnsi="Times"/>
        </w:rPr>
        <w:t>Washington, D 20416</w:t>
      </w:r>
    </w:p>
    <w:p w14:paraId="2C7D3F8F" w14:textId="77777777" w:rsidR="00400C93" w:rsidRPr="00781E34" w:rsidRDefault="00400C93" w:rsidP="000D5611">
      <w:pPr>
        <w:rPr>
          <w:rFonts w:ascii="Times" w:hAnsi="Times"/>
        </w:rPr>
      </w:pPr>
    </w:p>
    <w:p w14:paraId="5BFC1BA7" w14:textId="77777777" w:rsidR="00E40DDE" w:rsidRPr="00781E34" w:rsidRDefault="00400C93" w:rsidP="000D5611">
      <w:pPr>
        <w:rPr>
          <w:rFonts w:ascii="Times" w:hAnsi="Times"/>
        </w:rPr>
      </w:pPr>
      <w:r w:rsidRPr="00781E34">
        <w:rPr>
          <w:rFonts w:ascii="Times" w:hAnsi="Times"/>
        </w:rPr>
        <w:t>Dear Inspector General Ware:</w:t>
      </w:r>
    </w:p>
    <w:p w14:paraId="71BDBEAD" w14:textId="77777777" w:rsidR="002270B5" w:rsidRPr="00781E34" w:rsidRDefault="002270B5" w:rsidP="000D5611">
      <w:pPr>
        <w:rPr>
          <w:rFonts w:ascii="Times" w:hAnsi="Times"/>
        </w:rPr>
      </w:pPr>
    </w:p>
    <w:p w14:paraId="1748F5AD" w14:textId="03CF1B15" w:rsidR="00E7676B" w:rsidRPr="00781E34" w:rsidRDefault="00781E34" w:rsidP="000D5611">
      <w:pPr>
        <w:rPr>
          <w:rFonts w:ascii="Times" w:hAnsi="Times"/>
        </w:rPr>
      </w:pPr>
      <w:r>
        <w:rPr>
          <w:rFonts w:ascii="Times" w:hAnsi="Times"/>
        </w:rPr>
        <w:tab/>
      </w:r>
      <w:r w:rsidR="002270B5" w:rsidRPr="00781E34">
        <w:rPr>
          <w:rFonts w:ascii="Times" w:hAnsi="Times"/>
        </w:rPr>
        <w:t>National Legal and Policy</w:t>
      </w:r>
      <w:r w:rsidR="006B77CC" w:rsidRPr="00781E34">
        <w:rPr>
          <w:rFonts w:ascii="Times" w:hAnsi="Times"/>
        </w:rPr>
        <w:t xml:space="preserve"> Center (NLPC) respectfully requests that your office open a formal </w:t>
      </w:r>
      <w:r w:rsidR="004D3CC6">
        <w:rPr>
          <w:rFonts w:ascii="Times" w:hAnsi="Times"/>
        </w:rPr>
        <w:t>investigation into</w:t>
      </w:r>
      <w:r w:rsidR="00D94400" w:rsidRPr="00781E34">
        <w:rPr>
          <w:rFonts w:ascii="Times" w:hAnsi="Times"/>
        </w:rPr>
        <w:t xml:space="preserve"> the circumstances surrounding the </w:t>
      </w:r>
      <w:r w:rsidR="003F0890">
        <w:rPr>
          <w:rFonts w:ascii="Times" w:hAnsi="Times"/>
        </w:rPr>
        <w:t>approval</w:t>
      </w:r>
      <w:r w:rsidR="00D94400" w:rsidRPr="00781E34">
        <w:rPr>
          <w:rFonts w:ascii="Times" w:hAnsi="Times"/>
        </w:rPr>
        <w:t xml:space="preserve"> of a loan</w:t>
      </w:r>
      <w:r w:rsidR="006B77CC" w:rsidRPr="00781E34">
        <w:rPr>
          <w:rFonts w:ascii="Times" w:hAnsi="Times"/>
        </w:rPr>
        <w:t xml:space="preserve"> by the U.S. Small Business Administration</w:t>
      </w:r>
      <w:r w:rsidR="009D7BE2" w:rsidRPr="00781E34">
        <w:rPr>
          <w:rFonts w:ascii="Times" w:hAnsi="Times"/>
        </w:rPr>
        <w:t xml:space="preserve"> (SBA)</w:t>
      </w:r>
      <w:r w:rsidR="006B77CC" w:rsidRPr="00781E34">
        <w:rPr>
          <w:rFonts w:ascii="Times" w:hAnsi="Times"/>
        </w:rPr>
        <w:t xml:space="preserve"> to </w:t>
      </w:r>
      <w:r w:rsidR="00E7676B" w:rsidRPr="00781E34">
        <w:rPr>
          <w:rFonts w:ascii="Times" w:hAnsi="Times"/>
        </w:rPr>
        <w:t>Georges Berges Galleries LLC, the broker for the “artwork” of Hu</w:t>
      </w:r>
      <w:r w:rsidR="00035256">
        <w:rPr>
          <w:rFonts w:ascii="Times" w:hAnsi="Times"/>
        </w:rPr>
        <w:t>nter Biden, son of President Joseph</w:t>
      </w:r>
      <w:r w:rsidR="00E7676B" w:rsidRPr="00781E34">
        <w:rPr>
          <w:rFonts w:ascii="Times" w:hAnsi="Times"/>
        </w:rPr>
        <w:t xml:space="preserve"> Biden.</w:t>
      </w:r>
    </w:p>
    <w:p w14:paraId="6505A704" w14:textId="77777777" w:rsidR="00E7676B" w:rsidRPr="00781E34" w:rsidRDefault="00E7676B" w:rsidP="000D5611">
      <w:pPr>
        <w:rPr>
          <w:rFonts w:ascii="Times" w:hAnsi="Times"/>
        </w:rPr>
      </w:pPr>
    </w:p>
    <w:p w14:paraId="24E534FF" w14:textId="77777777" w:rsidR="00E40DDE" w:rsidRPr="00781E34" w:rsidRDefault="00E7676B" w:rsidP="009903E9">
      <w:pPr>
        <w:jc w:val="center"/>
        <w:rPr>
          <w:rFonts w:ascii="Times" w:hAnsi="Times"/>
          <w:b/>
        </w:rPr>
      </w:pPr>
      <w:r w:rsidRPr="00781E34">
        <w:rPr>
          <w:rFonts w:ascii="Times" w:hAnsi="Times"/>
          <w:b/>
        </w:rPr>
        <w:t>BACKGROUND</w:t>
      </w:r>
    </w:p>
    <w:p w14:paraId="082EEDBC" w14:textId="77777777" w:rsidR="00E40DDE" w:rsidRPr="00781E34" w:rsidRDefault="00E40DDE" w:rsidP="000D5611">
      <w:pPr>
        <w:rPr>
          <w:rFonts w:ascii="Times" w:hAnsi="Times"/>
        </w:rPr>
      </w:pPr>
    </w:p>
    <w:p w14:paraId="0B6309A3" w14:textId="157D23E1" w:rsidR="00CB5232" w:rsidRPr="00781E34" w:rsidRDefault="00781E34" w:rsidP="000D5611">
      <w:pPr>
        <w:rPr>
          <w:rFonts w:ascii="Times" w:hAnsi="Times"/>
        </w:rPr>
      </w:pPr>
      <w:r>
        <w:rPr>
          <w:rFonts w:ascii="Times" w:hAnsi="Times"/>
        </w:rPr>
        <w:tab/>
      </w:r>
      <w:r w:rsidR="00CB5232" w:rsidRPr="00781E34">
        <w:rPr>
          <w:rFonts w:ascii="Times" w:hAnsi="Times"/>
        </w:rPr>
        <w:t xml:space="preserve">On July 30, </w:t>
      </w:r>
      <w:proofErr w:type="gramStart"/>
      <w:r w:rsidR="00CB5232" w:rsidRPr="00781E34">
        <w:rPr>
          <w:rFonts w:ascii="Times" w:hAnsi="Times"/>
        </w:rPr>
        <w:t>2021</w:t>
      </w:r>
      <w:proofErr w:type="gramEnd"/>
      <w:r w:rsidR="00CB5232" w:rsidRPr="00781E34">
        <w:rPr>
          <w:rFonts w:ascii="Times" w:hAnsi="Times"/>
        </w:rPr>
        <w:t xml:space="preserve"> the G</w:t>
      </w:r>
      <w:r w:rsidR="009903E9" w:rsidRPr="00781E34">
        <w:rPr>
          <w:rFonts w:ascii="Times" w:hAnsi="Times"/>
        </w:rPr>
        <w:t>eneral Accounting Office (GOA)</w:t>
      </w:r>
      <w:r w:rsidR="00CB5232" w:rsidRPr="00781E34">
        <w:rPr>
          <w:rFonts w:ascii="Times" w:hAnsi="Times"/>
        </w:rPr>
        <w:t xml:space="preserve"> published a report titled, “Economic Injury Disaster Loan Program</w:t>
      </w:r>
      <w:r w:rsidR="004D3CC6">
        <w:rPr>
          <w:rFonts w:ascii="Times" w:hAnsi="Times"/>
        </w:rPr>
        <w:t xml:space="preserve"> (EIDLP)</w:t>
      </w:r>
      <w:r w:rsidR="00CB5232" w:rsidRPr="00781E34">
        <w:rPr>
          <w:rFonts w:ascii="Times" w:hAnsi="Times"/>
        </w:rPr>
        <w:t>:</w:t>
      </w:r>
      <w:r w:rsidR="00D0143D">
        <w:rPr>
          <w:rFonts w:ascii="Times" w:hAnsi="Times"/>
        </w:rPr>
        <w:t xml:space="preserve"> </w:t>
      </w:r>
      <w:r w:rsidR="00CB5232" w:rsidRPr="00781E34">
        <w:rPr>
          <w:rFonts w:ascii="Times" w:hAnsi="Times"/>
        </w:rPr>
        <w:t>Additional Actions Needed to Improve Communication with Appl</w:t>
      </w:r>
      <w:r w:rsidR="0045435C" w:rsidRPr="00781E34">
        <w:rPr>
          <w:rFonts w:ascii="Times" w:hAnsi="Times"/>
        </w:rPr>
        <w:t>icants and Address Fraud Risks.”</w:t>
      </w:r>
      <w:r w:rsidR="00CB7540">
        <w:rPr>
          <w:rStyle w:val="FootnoteReference"/>
          <w:rFonts w:ascii="Times" w:hAnsi="Times"/>
        </w:rPr>
        <w:footnoteReference w:id="1"/>
      </w:r>
      <w:r w:rsidR="0045435C" w:rsidRPr="00781E34">
        <w:rPr>
          <w:rFonts w:ascii="Times" w:hAnsi="Times"/>
        </w:rPr>
        <w:t xml:space="preserve"> </w:t>
      </w:r>
      <w:r w:rsidR="009903E9" w:rsidRPr="00781E34">
        <w:rPr>
          <w:rFonts w:ascii="Times" w:hAnsi="Times"/>
        </w:rPr>
        <w:t>The report painted a troubling</w:t>
      </w:r>
      <w:r w:rsidR="00220BA7" w:rsidRPr="00781E34">
        <w:rPr>
          <w:rFonts w:ascii="Times" w:hAnsi="Times"/>
        </w:rPr>
        <w:t xml:space="preserve"> picture of fraud, waste, and abuse combined with poor </w:t>
      </w:r>
      <w:r w:rsidR="0045435C" w:rsidRPr="00781E34">
        <w:rPr>
          <w:rFonts w:ascii="Times" w:hAnsi="Times"/>
        </w:rPr>
        <w:t>agency communication that has resulted in</w:t>
      </w:r>
      <w:r w:rsidR="00220BA7" w:rsidRPr="00781E34">
        <w:rPr>
          <w:rFonts w:ascii="Times" w:hAnsi="Times"/>
        </w:rPr>
        <w:t xml:space="preserve"> thous</w:t>
      </w:r>
      <w:r w:rsidR="009D7BE2" w:rsidRPr="00781E34">
        <w:rPr>
          <w:rFonts w:ascii="Times" w:hAnsi="Times"/>
        </w:rPr>
        <w:t>ands of ineligible parties receiving</w:t>
      </w:r>
      <w:r w:rsidR="00220BA7" w:rsidRPr="00781E34">
        <w:rPr>
          <w:rFonts w:ascii="Times" w:hAnsi="Times"/>
        </w:rPr>
        <w:t xml:space="preserve"> </w:t>
      </w:r>
      <w:r w:rsidR="00243122" w:rsidRPr="00781E34">
        <w:rPr>
          <w:rFonts w:ascii="Times" w:hAnsi="Times"/>
        </w:rPr>
        <w:t xml:space="preserve">SBA </w:t>
      </w:r>
      <w:r w:rsidR="00220BA7" w:rsidRPr="00781E34">
        <w:rPr>
          <w:rFonts w:ascii="Times" w:hAnsi="Times"/>
        </w:rPr>
        <w:t>EIDL loans.</w:t>
      </w:r>
      <w:r w:rsidR="00D0143D">
        <w:rPr>
          <w:rFonts w:ascii="Times" w:hAnsi="Times"/>
        </w:rPr>
        <w:t xml:space="preserve"> </w:t>
      </w:r>
    </w:p>
    <w:p w14:paraId="71755880" w14:textId="77777777" w:rsidR="005F129D" w:rsidRPr="00781E34" w:rsidRDefault="005F129D" w:rsidP="000D5611">
      <w:pPr>
        <w:rPr>
          <w:rFonts w:ascii="Times" w:hAnsi="Times"/>
        </w:rPr>
      </w:pPr>
    </w:p>
    <w:p w14:paraId="3DD11FBC" w14:textId="64BAD6CD" w:rsidR="005F129D" w:rsidRPr="00781E34" w:rsidRDefault="00781E34" w:rsidP="000D5611">
      <w:pPr>
        <w:rPr>
          <w:rFonts w:ascii="Times" w:hAnsi="Times"/>
        </w:rPr>
      </w:pPr>
      <w:r>
        <w:rPr>
          <w:rFonts w:ascii="Times" w:hAnsi="Times"/>
        </w:rPr>
        <w:tab/>
      </w:r>
      <w:r w:rsidR="005F129D" w:rsidRPr="00781E34">
        <w:rPr>
          <w:rFonts w:ascii="Times" w:hAnsi="Times"/>
        </w:rPr>
        <w:t xml:space="preserve">On July 26, 2021, four days </w:t>
      </w:r>
      <w:r w:rsidR="003F0890">
        <w:rPr>
          <w:rFonts w:ascii="Times" w:hAnsi="Times"/>
        </w:rPr>
        <w:t xml:space="preserve">before </w:t>
      </w:r>
      <w:r w:rsidR="005F129D" w:rsidRPr="00781E34">
        <w:rPr>
          <w:rFonts w:ascii="Times" w:hAnsi="Times"/>
        </w:rPr>
        <w:t>the GAO report was published, t</w:t>
      </w:r>
      <w:r w:rsidR="009D7BE2" w:rsidRPr="00781E34">
        <w:rPr>
          <w:rFonts w:ascii="Times" w:hAnsi="Times"/>
        </w:rPr>
        <w:t>he SBA</w:t>
      </w:r>
      <w:r w:rsidR="005F129D" w:rsidRPr="00781E34">
        <w:rPr>
          <w:rFonts w:ascii="Times" w:hAnsi="Times"/>
        </w:rPr>
        <w:t xml:space="preserve"> </w:t>
      </w:r>
      <w:r w:rsidR="009D7BE2" w:rsidRPr="00781E34">
        <w:rPr>
          <w:rFonts w:ascii="Times" w:hAnsi="Times"/>
        </w:rPr>
        <w:t>approved a $350,000 increase in</w:t>
      </w:r>
      <w:r w:rsidR="005F129D" w:rsidRPr="00781E34">
        <w:rPr>
          <w:rFonts w:ascii="Times" w:hAnsi="Times"/>
        </w:rPr>
        <w:t xml:space="preserve"> an EIDL loan to Georges </w:t>
      </w:r>
      <w:proofErr w:type="spellStart"/>
      <w:r w:rsidR="005F129D" w:rsidRPr="00781E34">
        <w:rPr>
          <w:rFonts w:ascii="Times" w:hAnsi="Times"/>
        </w:rPr>
        <w:t>Berges</w:t>
      </w:r>
      <w:proofErr w:type="spellEnd"/>
      <w:r w:rsidR="005F129D" w:rsidRPr="00781E34">
        <w:rPr>
          <w:rFonts w:ascii="Times" w:hAnsi="Times"/>
        </w:rPr>
        <w:t xml:space="preserve"> Galleries </w:t>
      </w:r>
      <w:r w:rsidR="00A30AD7" w:rsidRPr="00781E34">
        <w:rPr>
          <w:rFonts w:ascii="Times" w:hAnsi="Times"/>
        </w:rPr>
        <w:t>LLC</w:t>
      </w:r>
      <w:r w:rsidR="000420F3">
        <w:rPr>
          <w:rStyle w:val="FootnoteReference"/>
          <w:rFonts w:ascii="Times" w:hAnsi="Times"/>
        </w:rPr>
        <w:footnoteReference w:id="2"/>
      </w:r>
      <w:r w:rsidR="00A30AD7" w:rsidRPr="00781E34">
        <w:rPr>
          <w:rFonts w:ascii="Times" w:hAnsi="Times"/>
        </w:rPr>
        <w:t>.</w:t>
      </w:r>
      <w:r w:rsidR="00D0143D">
        <w:rPr>
          <w:rFonts w:ascii="Times" w:hAnsi="Times"/>
        </w:rPr>
        <w:t xml:space="preserve"> </w:t>
      </w:r>
      <w:r w:rsidR="00A30AD7" w:rsidRPr="00781E34">
        <w:rPr>
          <w:rFonts w:ascii="Times" w:hAnsi="Times"/>
        </w:rPr>
        <w:t xml:space="preserve">This was </w:t>
      </w:r>
      <w:r w:rsidR="003F0890">
        <w:rPr>
          <w:rFonts w:ascii="Times" w:hAnsi="Times"/>
        </w:rPr>
        <w:t>a</w:t>
      </w:r>
      <w:r w:rsidR="00A30AD7" w:rsidRPr="00781E34">
        <w:rPr>
          <w:rFonts w:ascii="Times" w:hAnsi="Times"/>
        </w:rPr>
        <w:t>n increase</w:t>
      </w:r>
      <w:r w:rsidR="00C81A42" w:rsidRPr="00781E34">
        <w:rPr>
          <w:rFonts w:ascii="Times" w:hAnsi="Times"/>
        </w:rPr>
        <w:t xml:space="preserve"> to a</w:t>
      </w:r>
      <w:r w:rsidR="005F129D" w:rsidRPr="00781E34">
        <w:rPr>
          <w:rFonts w:ascii="Times" w:hAnsi="Times"/>
        </w:rPr>
        <w:t xml:space="preserve"> $150,000 EIDL</w:t>
      </w:r>
      <w:r w:rsidR="00184564">
        <w:rPr>
          <w:rFonts w:ascii="Times" w:hAnsi="Times"/>
        </w:rPr>
        <w:t xml:space="preserve"> loan the gallery</w:t>
      </w:r>
      <w:r w:rsidR="005F129D" w:rsidRPr="00781E34">
        <w:rPr>
          <w:rFonts w:ascii="Times" w:hAnsi="Times"/>
        </w:rPr>
        <w:t xml:space="preserve"> received the previous year.</w:t>
      </w:r>
      <w:r w:rsidR="00D0143D">
        <w:rPr>
          <w:rFonts w:ascii="Times" w:hAnsi="Times"/>
        </w:rPr>
        <w:t xml:space="preserve"> </w:t>
      </w:r>
      <w:r w:rsidR="005F129D" w:rsidRPr="00781E34">
        <w:rPr>
          <w:rFonts w:ascii="Times" w:hAnsi="Times"/>
        </w:rPr>
        <w:t>It is our contentio</w:t>
      </w:r>
      <w:r w:rsidR="00A30AD7" w:rsidRPr="00781E34">
        <w:rPr>
          <w:rFonts w:ascii="Times" w:hAnsi="Times"/>
        </w:rPr>
        <w:t>n this loan appears to have been</w:t>
      </w:r>
      <w:r w:rsidR="00F059D9" w:rsidRPr="00781E34">
        <w:rPr>
          <w:rFonts w:ascii="Times" w:hAnsi="Times"/>
        </w:rPr>
        <w:t xml:space="preserve"> improperly made. P</w:t>
      </w:r>
      <w:r w:rsidR="005F129D" w:rsidRPr="00781E34">
        <w:rPr>
          <w:rFonts w:ascii="Times" w:hAnsi="Times"/>
        </w:rPr>
        <w:t xml:space="preserve">ublic documents obtained by the National Legal and Policy Center show it is highly unlikely the art gallery </w:t>
      </w:r>
      <w:r w:rsidR="00CF5512" w:rsidRPr="00781E34">
        <w:rPr>
          <w:rFonts w:ascii="Times" w:hAnsi="Times"/>
        </w:rPr>
        <w:t>qualified</w:t>
      </w:r>
      <w:r w:rsidR="003F0890">
        <w:rPr>
          <w:rFonts w:ascii="Times" w:hAnsi="Times"/>
        </w:rPr>
        <w:t xml:space="preserve"> for the maximum loan available and appears to have received benefits that were unavailable to the general public at the time of disbursement.  It also appears the gallery fails</w:t>
      </w:r>
      <w:r w:rsidR="00CF5512" w:rsidRPr="00781E34">
        <w:rPr>
          <w:rFonts w:ascii="Times" w:hAnsi="Times"/>
        </w:rPr>
        <w:t xml:space="preserve"> to reach</w:t>
      </w:r>
      <w:r w:rsidR="005F129D" w:rsidRPr="00781E34">
        <w:rPr>
          <w:rFonts w:ascii="Times" w:hAnsi="Times"/>
        </w:rPr>
        <w:t xml:space="preserve"> the </w:t>
      </w:r>
      <w:r w:rsidR="00FF31AE" w:rsidRPr="00781E34">
        <w:rPr>
          <w:rFonts w:ascii="Times" w:hAnsi="Times"/>
        </w:rPr>
        <w:t>required threshold based</w:t>
      </w:r>
      <w:r w:rsidR="00A30AD7" w:rsidRPr="00781E34">
        <w:rPr>
          <w:rFonts w:ascii="Times" w:hAnsi="Times"/>
        </w:rPr>
        <w:t xml:space="preserve"> </w:t>
      </w:r>
      <w:r w:rsidR="000420F3">
        <w:rPr>
          <w:rFonts w:ascii="Times" w:hAnsi="Times"/>
        </w:rPr>
        <w:t xml:space="preserve">on </w:t>
      </w:r>
      <w:r w:rsidR="00A30AD7" w:rsidRPr="00781E34">
        <w:rPr>
          <w:rFonts w:ascii="Times" w:hAnsi="Times"/>
        </w:rPr>
        <w:t>the SBA’s formula</w:t>
      </w:r>
      <w:r w:rsidR="00026DDC" w:rsidRPr="00781E34">
        <w:rPr>
          <w:rFonts w:ascii="Times" w:hAnsi="Times"/>
        </w:rPr>
        <w:t xml:space="preserve"> of</w:t>
      </w:r>
      <w:r w:rsidR="005F129D" w:rsidRPr="00781E34">
        <w:rPr>
          <w:rFonts w:ascii="Times" w:hAnsi="Times"/>
        </w:rPr>
        <w:t xml:space="preserve"> revenue vs</w:t>
      </w:r>
      <w:r w:rsidR="00F059D9" w:rsidRPr="00781E34">
        <w:rPr>
          <w:rFonts w:ascii="Times" w:hAnsi="Times"/>
        </w:rPr>
        <w:t>.</w:t>
      </w:r>
      <w:r w:rsidR="00FF31AE" w:rsidRPr="00781E34">
        <w:rPr>
          <w:rFonts w:ascii="Times" w:hAnsi="Times"/>
        </w:rPr>
        <w:t xml:space="preserve"> cost of goods</w:t>
      </w:r>
      <w:r w:rsidR="003F0890">
        <w:rPr>
          <w:rFonts w:ascii="Times" w:hAnsi="Times"/>
        </w:rPr>
        <w:t xml:space="preserve"> to receive the maximum loan available. </w:t>
      </w:r>
    </w:p>
    <w:p w14:paraId="1ABB453E" w14:textId="77777777" w:rsidR="005F129D" w:rsidRPr="00781E34" w:rsidRDefault="005F129D" w:rsidP="000D5611">
      <w:pPr>
        <w:rPr>
          <w:rFonts w:ascii="Times" w:hAnsi="Times"/>
        </w:rPr>
      </w:pPr>
    </w:p>
    <w:p w14:paraId="1D5C1C1D" w14:textId="0715BCDF" w:rsidR="005F129D" w:rsidRPr="00781E34" w:rsidRDefault="00781E34" w:rsidP="000D5611">
      <w:pPr>
        <w:rPr>
          <w:rFonts w:ascii="Times" w:hAnsi="Times"/>
        </w:rPr>
      </w:pPr>
      <w:r>
        <w:rPr>
          <w:rFonts w:ascii="Times" w:hAnsi="Times"/>
        </w:rPr>
        <w:tab/>
      </w:r>
      <w:r w:rsidR="0004715D" w:rsidRPr="00781E34">
        <w:rPr>
          <w:rFonts w:ascii="Times" w:hAnsi="Times"/>
        </w:rPr>
        <w:t xml:space="preserve">These documents </w:t>
      </w:r>
      <w:r w:rsidR="00026DDC" w:rsidRPr="00781E34">
        <w:rPr>
          <w:rFonts w:ascii="Times" w:hAnsi="Times"/>
        </w:rPr>
        <w:t>show other</w:t>
      </w:r>
      <w:r w:rsidR="005F129D" w:rsidRPr="00781E34">
        <w:rPr>
          <w:rFonts w:ascii="Times" w:hAnsi="Times"/>
        </w:rPr>
        <w:t xml:space="preserve"> art galleries, nearly 100, in the same</w:t>
      </w:r>
      <w:r w:rsidR="00436175">
        <w:rPr>
          <w:rFonts w:ascii="Times" w:hAnsi="Times"/>
        </w:rPr>
        <w:t xml:space="preserve"> </w:t>
      </w:r>
      <w:r w:rsidR="00D74BB3">
        <w:rPr>
          <w:rFonts w:ascii="Times" w:hAnsi="Times"/>
        </w:rPr>
        <w:t>c</w:t>
      </w:r>
      <w:r w:rsidR="005F129D" w:rsidRPr="00781E34">
        <w:rPr>
          <w:rFonts w:ascii="Times" w:hAnsi="Times"/>
        </w:rPr>
        <w:t xml:space="preserve">ongressional district failed to receive anywhere near the $500,000 </w:t>
      </w:r>
      <w:r w:rsidR="003E4A3C">
        <w:rPr>
          <w:rFonts w:ascii="Times" w:hAnsi="Times"/>
        </w:rPr>
        <w:t xml:space="preserve">in EIDL funds </w:t>
      </w:r>
      <w:r w:rsidR="0004715D" w:rsidRPr="00781E34">
        <w:rPr>
          <w:rFonts w:ascii="Times" w:hAnsi="Times"/>
        </w:rPr>
        <w:t xml:space="preserve">received by </w:t>
      </w:r>
      <w:r w:rsidR="005F129D" w:rsidRPr="00781E34">
        <w:rPr>
          <w:rFonts w:ascii="Times" w:hAnsi="Times"/>
        </w:rPr>
        <w:t>Geo</w:t>
      </w:r>
      <w:r w:rsidR="0004715D" w:rsidRPr="00781E34">
        <w:rPr>
          <w:rFonts w:ascii="Times" w:hAnsi="Times"/>
        </w:rPr>
        <w:t xml:space="preserve">rges </w:t>
      </w:r>
      <w:proofErr w:type="spellStart"/>
      <w:r w:rsidR="0004715D" w:rsidRPr="00781E34">
        <w:rPr>
          <w:rFonts w:ascii="Times" w:hAnsi="Times"/>
        </w:rPr>
        <w:t>Berges</w:t>
      </w:r>
      <w:proofErr w:type="spellEnd"/>
      <w:r w:rsidR="0004715D" w:rsidRPr="00781E34">
        <w:rPr>
          <w:rFonts w:ascii="Times" w:hAnsi="Times"/>
        </w:rPr>
        <w:t xml:space="preserve"> Gallery </w:t>
      </w:r>
      <w:r w:rsidR="0004715D" w:rsidRPr="00781E34">
        <w:rPr>
          <w:rFonts w:ascii="Times" w:hAnsi="Times"/>
        </w:rPr>
        <w:lastRenderedPageBreak/>
        <w:t>LLC</w:t>
      </w:r>
      <w:r w:rsidR="00F07D0B">
        <w:rPr>
          <w:rStyle w:val="FootnoteReference"/>
          <w:rFonts w:ascii="Times" w:hAnsi="Times"/>
        </w:rPr>
        <w:footnoteReference w:id="3"/>
      </w:r>
      <w:r w:rsidR="003827DB" w:rsidRPr="00781E34">
        <w:rPr>
          <w:rFonts w:ascii="Times" w:hAnsi="Times"/>
        </w:rPr>
        <w:t>.</w:t>
      </w:r>
      <w:r w:rsidR="00D0143D">
        <w:rPr>
          <w:rFonts w:ascii="Times" w:hAnsi="Times"/>
        </w:rPr>
        <w:t xml:space="preserve"> </w:t>
      </w:r>
      <w:r w:rsidR="003827DB" w:rsidRPr="00781E34">
        <w:rPr>
          <w:rFonts w:ascii="Times" w:hAnsi="Times"/>
        </w:rPr>
        <w:t xml:space="preserve">A federal lawsuit </w:t>
      </w:r>
      <w:r w:rsidR="003B3968" w:rsidRPr="00781E34">
        <w:rPr>
          <w:rFonts w:ascii="Times" w:hAnsi="Times"/>
        </w:rPr>
        <w:t>for alleged fraud</w:t>
      </w:r>
      <w:r w:rsidR="005F129D" w:rsidRPr="00781E34">
        <w:rPr>
          <w:rFonts w:ascii="Times" w:hAnsi="Times"/>
        </w:rPr>
        <w:t xml:space="preserve"> against Mr.</w:t>
      </w:r>
      <w:r w:rsidR="003827DB" w:rsidRPr="00781E34">
        <w:rPr>
          <w:rFonts w:ascii="Times" w:hAnsi="Times"/>
        </w:rPr>
        <w:t xml:space="preserve"> </w:t>
      </w:r>
      <w:proofErr w:type="spellStart"/>
      <w:r w:rsidR="003827DB" w:rsidRPr="00781E34">
        <w:rPr>
          <w:rFonts w:ascii="Times" w:hAnsi="Times"/>
        </w:rPr>
        <w:t>Berges</w:t>
      </w:r>
      <w:proofErr w:type="spellEnd"/>
      <w:r w:rsidR="003827DB" w:rsidRPr="00781E34">
        <w:rPr>
          <w:rFonts w:ascii="Times" w:hAnsi="Times"/>
        </w:rPr>
        <w:t xml:space="preserve"> in 2016 </w:t>
      </w:r>
      <w:r w:rsidR="003F0890">
        <w:rPr>
          <w:rFonts w:ascii="Times" w:hAnsi="Times"/>
        </w:rPr>
        <w:t>alleged</w:t>
      </w:r>
      <w:r w:rsidR="005F129D" w:rsidRPr="00781E34">
        <w:rPr>
          <w:rFonts w:ascii="Times" w:hAnsi="Times"/>
        </w:rPr>
        <w:t xml:space="preserve"> the gallery </w:t>
      </w:r>
      <w:r w:rsidR="00026DDC" w:rsidRPr="00781E34">
        <w:rPr>
          <w:rFonts w:ascii="Times" w:hAnsi="Times"/>
        </w:rPr>
        <w:t xml:space="preserve">to be </w:t>
      </w:r>
      <w:r w:rsidR="005F129D" w:rsidRPr="00781E34">
        <w:rPr>
          <w:rFonts w:ascii="Times" w:hAnsi="Times"/>
        </w:rPr>
        <w:t>barely ope</w:t>
      </w:r>
      <w:r w:rsidR="003B3968" w:rsidRPr="00781E34">
        <w:rPr>
          <w:rFonts w:ascii="Times" w:hAnsi="Times"/>
        </w:rPr>
        <w:t xml:space="preserve">rational </w:t>
      </w:r>
      <w:r w:rsidR="00026DDC" w:rsidRPr="00781E34">
        <w:rPr>
          <w:rFonts w:ascii="Times" w:hAnsi="Times"/>
        </w:rPr>
        <w:t>and in need</w:t>
      </w:r>
      <w:r w:rsidR="005F129D" w:rsidRPr="00781E34">
        <w:rPr>
          <w:rFonts w:ascii="Times" w:hAnsi="Times"/>
        </w:rPr>
        <w:t xml:space="preserve"> </w:t>
      </w:r>
      <w:r w:rsidR="00026DDC" w:rsidRPr="00781E34">
        <w:rPr>
          <w:rFonts w:ascii="Times" w:hAnsi="Times"/>
        </w:rPr>
        <w:t xml:space="preserve">of </w:t>
      </w:r>
      <w:r w:rsidR="003827DB" w:rsidRPr="00781E34">
        <w:rPr>
          <w:rFonts w:ascii="Times" w:hAnsi="Times"/>
        </w:rPr>
        <w:t xml:space="preserve">cash at the time </w:t>
      </w:r>
      <w:r w:rsidR="00D94400" w:rsidRPr="00781E34">
        <w:rPr>
          <w:rFonts w:ascii="Times" w:hAnsi="Times"/>
        </w:rPr>
        <w:t xml:space="preserve">before </w:t>
      </w:r>
      <w:r w:rsidR="003827DB" w:rsidRPr="00781E34">
        <w:rPr>
          <w:rFonts w:ascii="Times" w:hAnsi="Times"/>
        </w:rPr>
        <w:t xml:space="preserve">the suit was settled </w:t>
      </w:r>
      <w:r w:rsidR="0004715D" w:rsidRPr="00781E34">
        <w:rPr>
          <w:rFonts w:ascii="Times" w:hAnsi="Times"/>
        </w:rPr>
        <w:t>in 2018</w:t>
      </w:r>
      <w:r w:rsidR="00F07D0B">
        <w:rPr>
          <w:rStyle w:val="FootnoteReference"/>
          <w:rFonts w:ascii="Times" w:hAnsi="Times"/>
        </w:rPr>
        <w:footnoteReference w:id="4"/>
      </w:r>
      <w:r w:rsidR="0004715D" w:rsidRPr="00781E34">
        <w:rPr>
          <w:rFonts w:ascii="Times" w:hAnsi="Times"/>
        </w:rPr>
        <w:t>.</w:t>
      </w:r>
      <w:r w:rsidR="00D0143D">
        <w:rPr>
          <w:rFonts w:ascii="Times" w:hAnsi="Times"/>
        </w:rPr>
        <w:t xml:space="preserve"> </w:t>
      </w:r>
      <w:r w:rsidR="0004715D" w:rsidRPr="00781E34">
        <w:rPr>
          <w:rFonts w:ascii="Times" w:hAnsi="Times"/>
        </w:rPr>
        <w:t>Dun</w:t>
      </w:r>
      <w:r w:rsidR="00C2250B">
        <w:rPr>
          <w:rFonts w:ascii="Times" w:hAnsi="Times"/>
        </w:rPr>
        <w:t xml:space="preserve"> and Bradstreet</w:t>
      </w:r>
      <w:r w:rsidR="0029455D">
        <w:rPr>
          <w:rStyle w:val="FootnoteReference"/>
          <w:rFonts w:ascii="Times" w:hAnsi="Times"/>
        </w:rPr>
        <w:footnoteReference w:id="5"/>
      </w:r>
      <w:r w:rsidR="00C2250B">
        <w:rPr>
          <w:rFonts w:ascii="Times" w:hAnsi="Times"/>
        </w:rPr>
        <w:t xml:space="preserve"> reports also </w:t>
      </w:r>
      <w:r w:rsidR="003F0890">
        <w:rPr>
          <w:rFonts w:ascii="Times" w:hAnsi="Times"/>
        </w:rPr>
        <w:t xml:space="preserve">show </w:t>
      </w:r>
      <w:r w:rsidR="005F129D" w:rsidRPr="00781E34">
        <w:rPr>
          <w:rFonts w:ascii="Times" w:hAnsi="Times"/>
        </w:rPr>
        <w:t>the gallery has only two employees and does not come near having the type of revenue needed to qualify for a $500,</w:t>
      </w:r>
      <w:r w:rsidR="002F28A5" w:rsidRPr="00781E34">
        <w:rPr>
          <w:rFonts w:ascii="Times" w:hAnsi="Times"/>
        </w:rPr>
        <w:t xml:space="preserve">000 loan. </w:t>
      </w:r>
      <w:r w:rsidR="00FE3F36" w:rsidRPr="00781E34">
        <w:rPr>
          <w:rFonts w:ascii="Times" w:hAnsi="Times"/>
        </w:rPr>
        <w:t>Applications for Paycheck Protection Pro</w:t>
      </w:r>
      <w:r w:rsidR="0045334D" w:rsidRPr="00781E34">
        <w:rPr>
          <w:rFonts w:ascii="Times" w:hAnsi="Times"/>
        </w:rPr>
        <w:t>g</w:t>
      </w:r>
      <w:r w:rsidR="00FE3F36" w:rsidRPr="00781E34">
        <w:rPr>
          <w:rFonts w:ascii="Times" w:hAnsi="Times"/>
        </w:rPr>
        <w:t>ram (PPP)</w:t>
      </w:r>
      <w:r w:rsidR="005F129D" w:rsidRPr="00781E34">
        <w:rPr>
          <w:rFonts w:ascii="Times" w:hAnsi="Times"/>
        </w:rPr>
        <w:t xml:space="preserve"> loans</w:t>
      </w:r>
      <w:r w:rsidR="00C2250B">
        <w:rPr>
          <w:rFonts w:ascii="Times" w:hAnsi="Times"/>
        </w:rPr>
        <w:t xml:space="preserve"> made by the gallery</w:t>
      </w:r>
      <w:r w:rsidR="005F129D" w:rsidRPr="00781E34">
        <w:rPr>
          <w:rFonts w:ascii="Times" w:hAnsi="Times"/>
        </w:rPr>
        <w:t xml:space="preserve"> also verify o</w:t>
      </w:r>
      <w:r w:rsidR="00C2250B">
        <w:rPr>
          <w:rFonts w:ascii="Times" w:hAnsi="Times"/>
        </w:rPr>
        <w:t>nly two employees</w:t>
      </w:r>
      <w:r w:rsidR="005F129D" w:rsidRPr="00781E34">
        <w:rPr>
          <w:rFonts w:ascii="Times" w:hAnsi="Times"/>
        </w:rPr>
        <w:t>.</w:t>
      </w:r>
      <w:r w:rsidR="00D0143D">
        <w:rPr>
          <w:rFonts w:ascii="Times" w:hAnsi="Times"/>
        </w:rPr>
        <w:t xml:space="preserve"> </w:t>
      </w:r>
    </w:p>
    <w:p w14:paraId="71AF4E09" w14:textId="77777777" w:rsidR="005F129D" w:rsidRPr="00781E34" w:rsidRDefault="005F129D" w:rsidP="000D5611">
      <w:pPr>
        <w:rPr>
          <w:rFonts w:ascii="Times" w:hAnsi="Times"/>
        </w:rPr>
      </w:pPr>
    </w:p>
    <w:p w14:paraId="6D51B6BD" w14:textId="36B36C0A" w:rsidR="002E2066" w:rsidRPr="00781E34" w:rsidRDefault="00781E34" w:rsidP="000D5611">
      <w:pPr>
        <w:rPr>
          <w:rFonts w:ascii="Times" w:hAnsi="Times"/>
        </w:rPr>
      </w:pPr>
      <w:r>
        <w:rPr>
          <w:rFonts w:ascii="Times" w:hAnsi="Times"/>
        </w:rPr>
        <w:tab/>
      </w:r>
      <w:r w:rsidR="005F129D" w:rsidRPr="00781E34">
        <w:rPr>
          <w:rFonts w:ascii="Times" w:hAnsi="Times"/>
        </w:rPr>
        <w:t xml:space="preserve">Unlike PPP loans EIDL loans are not forgivable and come with a </w:t>
      </w:r>
      <w:r w:rsidR="002E2066" w:rsidRPr="00781E34">
        <w:rPr>
          <w:rFonts w:ascii="Times" w:hAnsi="Times"/>
        </w:rPr>
        <w:t>30-year</w:t>
      </w:r>
      <w:r w:rsidR="005F129D" w:rsidRPr="00781E34">
        <w:rPr>
          <w:rFonts w:ascii="Times" w:hAnsi="Times"/>
        </w:rPr>
        <w:t xml:space="preserve"> payment period at a competitive interest rate</w:t>
      </w:r>
      <w:r w:rsidR="0029455D">
        <w:rPr>
          <w:rStyle w:val="FootnoteReference"/>
          <w:rFonts w:ascii="Times" w:hAnsi="Times"/>
        </w:rPr>
        <w:footnoteReference w:id="6"/>
      </w:r>
      <w:r w:rsidR="005F129D" w:rsidRPr="00781E34">
        <w:rPr>
          <w:rFonts w:ascii="Times" w:hAnsi="Times"/>
        </w:rPr>
        <w:t>.</w:t>
      </w:r>
      <w:r w:rsidR="00D0143D">
        <w:rPr>
          <w:rFonts w:ascii="Times" w:hAnsi="Times"/>
        </w:rPr>
        <w:t xml:space="preserve"> </w:t>
      </w:r>
      <w:r w:rsidR="005F129D" w:rsidRPr="00781E34">
        <w:rPr>
          <w:rFonts w:ascii="Times" w:hAnsi="Times"/>
        </w:rPr>
        <w:t>The $500,000 loan Georges Berges Gallery LLC received is an EIDL loan and it has a two-year deferral period for payments to begin.</w:t>
      </w:r>
      <w:r w:rsidR="00D0143D">
        <w:rPr>
          <w:rFonts w:ascii="Times" w:hAnsi="Times"/>
        </w:rPr>
        <w:t xml:space="preserve"> </w:t>
      </w:r>
      <w:r w:rsidR="005F129D" w:rsidRPr="00781E34">
        <w:rPr>
          <w:rFonts w:ascii="Times" w:hAnsi="Times"/>
        </w:rPr>
        <w:t xml:space="preserve">This deferral period restarted on July 26, </w:t>
      </w:r>
      <w:r w:rsidR="002E2066" w:rsidRPr="00781E34">
        <w:rPr>
          <w:rFonts w:ascii="Times" w:hAnsi="Times"/>
        </w:rPr>
        <w:t xml:space="preserve">2021 </w:t>
      </w:r>
      <w:r w:rsidR="005F129D" w:rsidRPr="00781E34">
        <w:rPr>
          <w:rFonts w:ascii="Times" w:hAnsi="Times"/>
        </w:rPr>
        <w:t>when they received the additional $350,000 from the SBA.</w:t>
      </w:r>
      <w:r w:rsidR="00D0143D">
        <w:rPr>
          <w:rFonts w:ascii="Times" w:hAnsi="Times"/>
        </w:rPr>
        <w:t xml:space="preserve"> </w:t>
      </w:r>
      <w:r w:rsidR="005F129D" w:rsidRPr="00781E34">
        <w:rPr>
          <w:rFonts w:ascii="Times" w:hAnsi="Times"/>
        </w:rPr>
        <w:t>The SBA supposedly used a formula to determine Georges Berges Gallery LLC was eligible for the maximum allowed under program rules.</w:t>
      </w:r>
      <w:r w:rsidR="00D0143D">
        <w:rPr>
          <w:rFonts w:ascii="Times" w:hAnsi="Times"/>
        </w:rPr>
        <w:t xml:space="preserve"> </w:t>
      </w:r>
      <w:r w:rsidR="005F129D" w:rsidRPr="00781E34">
        <w:rPr>
          <w:rFonts w:ascii="Times" w:hAnsi="Times"/>
        </w:rPr>
        <w:t>National Legal and Policy Center has reviewed public documents that bring into question Georges Berges Gallery LLC’s qualification for the maximum loan allowed under program rules.</w:t>
      </w:r>
      <w:r w:rsidR="00D0143D">
        <w:rPr>
          <w:rFonts w:ascii="Times" w:hAnsi="Times"/>
        </w:rPr>
        <w:t xml:space="preserve"> </w:t>
      </w:r>
      <w:r w:rsidR="002E2066" w:rsidRPr="00781E34">
        <w:rPr>
          <w:rFonts w:ascii="Times" w:hAnsi="Times"/>
        </w:rPr>
        <w:t>These public documents fall into two categories.</w:t>
      </w:r>
      <w:r w:rsidR="00D0143D">
        <w:rPr>
          <w:rFonts w:ascii="Times" w:hAnsi="Times"/>
        </w:rPr>
        <w:t xml:space="preserve"> </w:t>
      </w:r>
      <w:r w:rsidR="002E2066" w:rsidRPr="00781E34">
        <w:rPr>
          <w:rFonts w:ascii="Times" w:hAnsi="Times"/>
        </w:rPr>
        <w:t xml:space="preserve"> Government agency documents related to GAO findings on the EIDL program and SBA records on loans that have been approved.</w:t>
      </w:r>
      <w:r w:rsidR="00D0143D">
        <w:rPr>
          <w:rFonts w:ascii="Times" w:hAnsi="Times"/>
        </w:rPr>
        <w:t xml:space="preserve"> </w:t>
      </w:r>
      <w:r w:rsidR="002E2066" w:rsidRPr="00781E34">
        <w:rPr>
          <w:rFonts w:ascii="Times" w:hAnsi="Times"/>
        </w:rPr>
        <w:t>The second category being public records in the form of a federal lawsuit</w:t>
      </w:r>
      <w:r w:rsidR="002251E9">
        <w:rPr>
          <w:rStyle w:val="FootnoteReference"/>
          <w:rFonts w:ascii="Times" w:hAnsi="Times"/>
        </w:rPr>
        <w:footnoteReference w:id="7"/>
      </w:r>
      <w:r w:rsidR="002E2066" w:rsidRPr="00781E34">
        <w:rPr>
          <w:rFonts w:ascii="Times" w:hAnsi="Times"/>
        </w:rPr>
        <w:t>, land records</w:t>
      </w:r>
      <w:r w:rsidR="000D5F29">
        <w:rPr>
          <w:rStyle w:val="FootnoteReference"/>
          <w:rFonts w:ascii="Times" w:hAnsi="Times"/>
        </w:rPr>
        <w:footnoteReference w:id="8"/>
      </w:r>
      <w:r w:rsidR="002E2066" w:rsidRPr="00781E34">
        <w:rPr>
          <w:rFonts w:ascii="Times" w:hAnsi="Times"/>
        </w:rPr>
        <w:t>, UCC records, and media coverage related to Hun</w:t>
      </w:r>
      <w:r w:rsidR="00D74BB3">
        <w:rPr>
          <w:rFonts w:ascii="Times" w:hAnsi="Times"/>
        </w:rPr>
        <w:t>ter’s art sales through the Geor</w:t>
      </w:r>
      <w:r w:rsidR="002E2066" w:rsidRPr="00781E34">
        <w:rPr>
          <w:rFonts w:ascii="Times" w:hAnsi="Times"/>
        </w:rPr>
        <w:t>ges Berges art gallery.</w:t>
      </w:r>
    </w:p>
    <w:p w14:paraId="72DC5A15" w14:textId="77777777" w:rsidR="002E2066" w:rsidRPr="00781E34" w:rsidRDefault="002E2066" w:rsidP="000D5611">
      <w:pPr>
        <w:rPr>
          <w:rFonts w:ascii="Times" w:hAnsi="Times"/>
        </w:rPr>
      </w:pPr>
    </w:p>
    <w:p w14:paraId="0A78C75A" w14:textId="46EF1436" w:rsidR="002E2066" w:rsidRPr="00781E34" w:rsidRDefault="00781E34" w:rsidP="000D5611">
      <w:pPr>
        <w:rPr>
          <w:rFonts w:ascii="Times" w:hAnsi="Times"/>
        </w:rPr>
      </w:pPr>
      <w:r>
        <w:rPr>
          <w:rFonts w:ascii="Times" w:hAnsi="Times"/>
        </w:rPr>
        <w:tab/>
      </w:r>
      <w:r w:rsidR="002E2066" w:rsidRPr="00781E34">
        <w:rPr>
          <w:rFonts w:ascii="Times" w:hAnsi="Times"/>
        </w:rPr>
        <w:t>On July 30, 2021 the GAO filed a report showing the SBA’s EIDL program is wrought with fraud, with an inability to properly administer policies and procedures internally to make the program more streamlined and less open to fraud, waste, and abuse.</w:t>
      </w:r>
      <w:r w:rsidR="00D0143D">
        <w:rPr>
          <w:rFonts w:ascii="Times" w:hAnsi="Times"/>
        </w:rPr>
        <w:t xml:space="preserve"> </w:t>
      </w:r>
      <w:r w:rsidR="002E2066" w:rsidRPr="00781E34">
        <w:rPr>
          <w:rFonts w:ascii="Times" w:hAnsi="Times"/>
        </w:rPr>
        <w:t xml:space="preserve">Here are some of the </w:t>
      </w:r>
      <w:r w:rsidR="008948A0" w:rsidRPr="00781E34">
        <w:rPr>
          <w:rFonts w:ascii="Times" w:hAnsi="Times"/>
        </w:rPr>
        <w:t>“</w:t>
      </w:r>
      <w:r w:rsidR="00B722B4" w:rsidRPr="00781E34">
        <w:rPr>
          <w:rFonts w:ascii="Times" w:hAnsi="Times"/>
        </w:rPr>
        <w:t>highlights</w:t>
      </w:r>
      <w:r w:rsidR="008948A0" w:rsidRPr="00781E34">
        <w:rPr>
          <w:rFonts w:ascii="Times" w:hAnsi="Times"/>
        </w:rPr>
        <w:t>” found in the report</w:t>
      </w:r>
      <w:r w:rsidR="000D5F29">
        <w:rPr>
          <w:rStyle w:val="FootnoteReference"/>
          <w:rFonts w:ascii="Times" w:hAnsi="Times"/>
        </w:rPr>
        <w:footnoteReference w:id="9"/>
      </w:r>
      <w:r w:rsidR="008948A0" w:rsidRPr="00781E34">
        <w:rPr>
          <w:rFonts w:ascii="Times" w:hAnsi="Times"/>
        </w:rPr>
        <w:t>.</w:t>
      </w:r>
    </w:p>
    <w:p w14:paraId="56847494" w14:textId="77777777" w:rsidR="002E2066" w:rsidRPr="00781E34" w:rsidRDefault="002E2066" w:rsidP="000D5611">
      <w:pPr>
        <w:rPr>
          <w:rFonts w:ascii="Times" w:hAnsi="Times"/>
        </w:rPr>
      </w:pPr>
    </w:p>
    <w:p w14:paraId="3279240A" w14:textId="77777777" w:rsidR="00CB5232" w:rsidRPr="00781E34" w:rsidRDefault="00220BA7" w:rsidP="000D5611">
      <w:pPr>
        <w:pStyle w:val="ListParagraph"/>
        <w:numPr>
          <w:ilvl w:val="0"/>
          <w:numId w:val="1"/>
        </w:numPr>
        <w:rPr>
          <w:rFonts w:ascii="Times" w:hAnsi="Times"/>
        </w:rPr>
      </w:pPr>
      <w:r w:rsidRPr="00781E34">
        <w:rPr>
          <w:rFonts w:ascii="Times" w:hAnsi="Times"/>
          <w:szCs w:val="22"/>
        </w:rPr>
        <w:t>A</w:t>
      </w:r>
      <w:r w:rsidR="00CB5232" w:rsidRPr="00781E34">
        <w:rPr>
          <w:rFonts w:ascii="Times" w:hAnsi="Times"/>
          <w:szCs w:val="22"/>
        </w:rPr>
        <w:t>s of April 2021, SBA had not clarified in its application, on its website, or in its most recent FAQ how it uses gross revenues and cost of goods sold to calculate the loan amount that it could offer.</w:t>
      </w:r>
    </w:p>
    <w:p w14:paraId="6C68580A" w14:textId="77777777" w:rsidR="002E2066" w:rsidRPr="00781E34" w:rsidRDefault="002E2066" w:rsidP="000D5611">
      <w:pPr>
        <w:rPr>
          <w:rFonts w:ascii="Times" w:hAnsi="Times"/>
        </w:rPr>
      </w:pPr>
    </w:p>
    <w:p w14:paraId="7A06719D" w14:textId="77777777" w:rsidR="00CB5232" w:rsidRPr="00781E34" w:rsidRDefault="00CB5232" w:rsidP="000D5611">
      <w:pPr>
        <w:pStyle w:val="ListParagraph"/>
        <w:numPr>
          <w:ilvl w:val="0"/>
          <w:numId w:val="1"/>
        </w:numPr>
        <w:kinsoku w:val="0"/>
        <w:overflowPunct w:val="0"/>
        <w:autoSpaceDE w:val="0"/>
        <w:autoSpaceDN w:val="0"/>
        <w:adjustRightInd w:val="0"/>
        <w:spacing w:line="245" w:lineRule="exact"/>
        <w:rPr>
          <w:rFonts w:ascii="Times" w:hAnsi="Times" w:cs="Arial"/>
          <w:szCs w:val="22"/>
        </w:rPr>
      </w:pPr>
      <w:bookmarkStart w:id="0" w:name="_bookmark1"/>
      <w:bookmarkStart w:id="1" w:name="_bookmark0"/>
      <w:bookmarkEnd w:id="0"/>
      <w:bookmarkEnd w:id="1"/>
      <w:r w:rsidRPr="00781E34">
        <w:rPr>
          <w:rFonts w:ascii="Times" w:hAnsi="Times" w:cs="Arial"/>
          <w:szCs w:val="22"/>
        </w:rPr>
        <w:t>In December 2020, SBA’s independent financial</w:t>
      </w:r>
      <w:r w:rsidRPr="00781E34">
        <w:rPr>
          <w:rFonts w:ascii="Times" w:hAnsi="Times" w:cs="Arial"/>
          <w:spacing w:val="-1"/>
          <w:szCs w:val="22"/>
        </w:rPr>
        <w:t xml:space="preserve"> </w:t>
      </w:r>
      <w:r w:rsidRPr="00781E34">
        <w:rPr>
          <w:rFonts w:ascii="Times" w:hAnsi="Times" w:cs="Arial"/>
          <w:szCs w:val="22"/>
        </w:rPr>
        <w:t>statement auditor noted</w:t>
      </w:r>
      <w:r w:rsidRPr="00781E34">
        <w:rPr>
          <w:rFonts w:ascii="Times" w:hAnsi="Times" w:cs="Arial"/>
          <w:spacing w:val="-1"/>
          <w:szCs w:val="22"/>
        </w:rPr>
        <w:t xml:space="preserve"> </w:t>
      </w:r>
      <w:r w:rsidRPr="00781E34">
        <w:rPr>
          <w:rFonts w:ascii="Times" w:hAnsi="Times" w:cs="Arial"/>
          <w:szCs w:val="22"/>
        </w:rPr>
        <w:t>discrepancies</w:t>
      </w:r>
      <w:r w:rsidRPr="00781E34">
        <w:rPr>
          <w:rFonts w:ascii="Times" w:hAnsi="Times" w:cs="Arial"/>
          <w:spacing w:val="-1"/>
          <w:szCs w:val="22"/>
        </w:rPr>
        <w:t xml:space="preserve"> </w:t>
      </w:r>
      <w:r w:rsidRPr="00781E34">
        <w:rPr>
          <w:rFonts w:ascii="Times" w:hAnsi="Times" w:cs="Arial"/>
          <w:szCs w:val="22"/>
        </w:rPr>
        <w:t>including more than one loan or advance approved and disbursed to the same borrower. The auditor also</w:t>
      </w:r>
      <w:r w:rsidRPr="00781E34">
        <w:rPr>
          <w:rFonts w:ascii="Times" w:hAnsi="Times" w:cs="Arial"/>
          <w:spacing w:val="-1"/>
          <w:szCs w:val="22"/>
        </w:rPr>
        <w:t xml:space="preserve"> </w:t>
      </w:r>
      <w:r w:rsidRPr="00781E34">
        <w:rPr>
          <w:rFonts w:ascii="Times" w:hAnsi="Times" w:cs="Arial"/>
          <w:szCs w:val="22"/>
        </w:rPr>
        <w:t>identified over 6,000 disbursed EIDL loans (over $212 million</w:t>
      </w:r>
    </w:p>
    <w:p w14:paraId="64418925" w14:textId="77777777" w:rsidR="00CB5232" w:rsidRPr="00781E34" w:rsidRDefault="00CB5232" w:rsidP="000D5611">
      <w:pPr>
        <w:pStyle w:val="ListParagraph"/>
        <w:kinsoku w:val="0"/>
        <w:overflowPunct w:val="0"/>
        <w:autoSpaceDE w:val="0"/>
        <w:autoSpaceDN w:val="0"/>
        <w:adjustRightInd w:val="0"/>
        <w:ind w:right="2719"/>
        <w:rPr>
          <w:rFonts w:ascii="Times" w:hAnsi="Times" w:cs="Arial"/>
          <w:szCs w:val="22"/>
        </w:rPr>
      </w:pPr>
      <w:r w:rsidRPr="00781E34">
        <w:rPr>
          <w:rFonts w:ascii="Times" w:hAnsi="Times" w:cs="Arial"/>
          <w:szCs w:val="22"/>
        </w:rPr>
        <w:t>total) issued</w:t>
      </w:r>
      <w:r w:rsidRPr="00781E34">
        <w:rPr>
          <w:rFonts w:ascii="Times" w:hAnsi="Times" w:cs="Arial"/>
          <w:spacing w:val="-1"/>
          <w:szCs w:val="22"/>
        </w:rPr>
        <w:t xml:space="preserve"> </w:t>
      </w:r>
      <w:r w:rsidRPr="00781E34">
        <w:rPr>
          <w:rFonts w:ascii="Times" w:hAnsi="Times" w:cs="Arial"/>
          <w:szCs w:val="22"/>
        </w:rPr>
        <w:t>to potentially</w:t>
      </w:r>
      <w:r w:rsidRPr="00781E34">
        <w:rPr>
          <w:rFonts w:ascii="Times" w:hAnsi="Times" w:cs="Arial"/>
          <w:spacing w:val="-1"/>
          <w:szCs w:val="22"/>
        </w:rPr>
        <w:t xml:space="preserve"> </w:t>
      </w:r>
      <w:r w:rsidRPr="00781E34">
        <w:rPr>
          <w:rFonts w:ascii="Times" w:hAnsi="Times" w:cs="Arial"/>
          <w:szCs w:val="22"/>
        </w:rPr>
        <w:t>ineligible borrowers.</w:t>
      </w:r>
    </w:p>
    <w:p w14:paraId="41374D0C" w14:textId="77777777" w:rsidR="002E2066" w:rsidRPr="00781E34" w:rsidRDefault="002E2066" w:rsidP="000D5611">
      <w:pPr>
        <w:pStyle w:val="ListParagraph"/>
        <w:kinsoku w:val="0"/>
        <w:overflowPunct w:val="0"/>
        <w:autoSpaceDE w:val="0"/>
        <w:autoSpaceDN w:val="0"/>
        <w:adjustRightInd w:val="0"/>
        <w:ind w:right="2719"/>
        <w:rPr>
          <w:rFonts w:ascii="Times" w:hAnsi="Times" w:cs="Arial"/>
          <w:szCs w:val="22"/>
        </w:rPr>
      </w:pPr>
    </w:p>
    <w:p w14:paraId="0193A1D3" w14:textId="77777777" w:rsidR="00CB5232" w:rsidRPr="00781E34" w:rsidRDefault="00CB5232" w:rsidP="000D5611">
      <w:pPr>
        <w:pStyle w:val="BodyText"/>
        <w:numPr>
          <w:ilvl w:val="0"/>
          <w:numId w:val="1"/>
        </w:numPr>
        <w:kinsoku w:val="0"/>
        <w:overflowPunct w:val="0"/>
        <w:spacing w:line="245" w:lineRule="exact"/>
        <w:ind w:right="159"/>
        <w:rPr>
          <w:rFonts w:ascii="Times" w:hAnsi="Times"/>
          <w:sz w:val="24"/>
        </w:rPr>
      </w:pPr>
      <w:r w:rsidRPr="00781E34">
        <w:rPr>
          <w:rFonts w:ascii="Times" w:hAnsi="Times"/>
          <w:sz w:val="24"/>
        </w:rPr>
        <w:t>Across the 51 cases in</w:t>
      </w:r>
      <w:r w:rsidRPr="00781E34">
        <w:rPr>
          <w:rFonts w:ascii="Times" w:hAnsi="Times"/>
          <w:spacing w:val="-1"/>
          <w:sz w:val="24"/>
        </w:rPr>
        <w:t xml:space="preserve"> </w:t>
      </w:r>
      <w:r w:rsidRPr="00781E34">
        <w:rPr>
          <w:rFonts w:ascii="Times" w:hAnsi="Times"/>
          <w:sz w:val="24"/>
        </w:rPr>
        <w:t>which</w:t>
      </w:r>
      <w:r w:rsidRPr="00781E34">
        <w:rPr>
          <w:rFonts w:ascii="Times" w:hAnsi="Times"/>
          <w:spacing w:val="-1"/>
          <w:sz w:val="24"/>
        </w:rPr>
        <w:t xml:space="preserve"> </w:t>
      </w:r>
      <w:r w:rsidRPr="00781E34">
        <w:rPr>
          <w:rFonts w:ascii="Times" w:hAnsi="Times"/>
          <w:sz w:val="24"/>
        </w:rPr>
        <w:t>DOJ filed</w:t>
      </w:r>
      <w:r w:rsidRPr="00781E34">
        <w:rPr>
          <w:rFonts w:ascii="Times" w:hAnsi="Times"/>
          <w:spacing w:val="-1"/>
          <w:sz w:val="24"/>
        </w:rPr>
        <w:t xml:space="preserve"> </w:t>
      </w:r>
      <w:r w:rsidRPr="00781E34">
        <w:rPr>
          <w:rFonts w:ascii="Times" w:hAnsi="Times"/>
          <w:sz w:val="24"/>
        </w:rPr>
        <w:t>fraud-related charges,</w:t>
      </w:r>
      <w:r w:rsidRPr="00781E34">
        <w:rPr>
          <w:rFonts w:ascii="Times" w:hAnsi="Times"/>
          <w:spacing w:val="-1"/>
          <w:sz w:val="24"/>
        </w:rPr>
        <w:t xml:space="preserve"> </w:t>
      </w:r>
      <w:r w:rsidRPr="00781E34">
        <w:rPr>
          <w:rFonts w:ascii="Times" w:hAnsi="Times"/>
          <w:sz w:val="24"/>
        </w:rPr>
        <w:t>we found that 19 involved identity</w:t>
      </w:r>
      <w:r w:rsidRPr="00781E34">
        <w:rPr>
          <w:rFonts w:ascii="Times" w:hAnsi="Times"/>
          <w:spacing w:val="-1"/>
          <w:sz w:val="24"/>
        </w:rPr>
        <w:t xml:space="preserve"> </w:t>
      </w:r>
      <w:r w:rsidRPr="00781E34">
        <w:rPr>
          <w:rFonts w:ascii="Times" w:hAnsi="Times"/>
          <w:sz w:val="24"/>
        </w:rPr>
        <w:t xml:space="preserve">theft, 39 involved false attestation, 39 involved fictitious or inflated </w:t>
      </w:r>
      <w:r w:rsidRPr="00781E34">
        <w:rPr>
          <w:rFonts w:ascii="Times" w:hAnsi="Times"/>
          <w:sz w:val="24"/>
        </w:rPr>
        <w:lastRenderedPageBreak/>
        <w:t>employee counts, and 29 involved misuse of proceeds.</w:t>
      </w:r>
      <w:hyperlink w:anchor="bookmark0" w:history="1">
        <w:r w:rsidRPr="00781E34">
          <w:rPr>
            <w:rFonts w:ascii="Times" w:hAnsi="Times"/>
            <w:position w:val="5"/>
            <w:sz w:val="24"/>
            <w:szCs w:val="14"/>
          </w:rPr>
          <w:t>38</w:t>
        </w:r>
      </w:hyperlink>
      <w:r w:rsidRPr="00781E34">
        <w:rPr>
          <w:rFonts w:ascii="Times" w:hAnsi="Times"/>
          <w:spacing w:val="22"/>
          <w:position w:val="5"/>
          <w:sz w:val="24"/>
          <w:szCs w:val="14"/>
        </w:rPr>
        <w:t xml:space="preserve"> </w:t>
      </w:r>
      <w:r w:rsidRPr="00781E34">
        <w:rPr>
          <w:rFonts w:ascii="Times" w:hAnsi="Times"/>
          <w:sz w:val="24"/>
        </w:rPr>
        <w:t>These cases included charges of bank fraud, wire</w:t>
      </w:r>
      <w:r w:rsidRPr="00781E34">
        <w:rPr>
          <w:rFonts w:ascii="Times" w:hAnsi="Times"/>
          <w:spacing w:val="-1"/>
          <w:sz w:val="24"/>
        </w:rPr>
        <w:t xml:space="preserve"> </w:t>
      </w:r>
      <w:r w:rsidRPr="00781E34">
        <w:rPr>
          <w:rFonts w:ascii="Times" w:hAnsi="Times"/>
          <w:sz w:val="24"/>
        </w:rPr>
        <w:t>fraud, false</w:t>
      </w:r>
      <w:r w:rsidRPr="00781E34">
        <w:rPr>
          <w:rFonts w:ascii="Times" w:hAnsi="Times"/>
          <w:spacing w:val="-1"/>
          <w:sz w:val="24"/>
        </w:rPr>
        <w:t xml:space="preserve"> </w:t>
      </w:r>
      <w:r w:rsidRPr="00781E34">
        <w:rPr>
          <w:rFonts w:ascii="Times" w:hAnsi="Times"/>
          <w:sz w:val="24"/>
        </w:rPr>
        <w:t>statements, money laundering,</w:t>
      </w:r>
      <w:r w:rsidRPr="00781E34">
        <w:rPr>
          <w:rFonts w:ascii="Times" w:hAnsi="Times"/>
          <w:spacing w:val="-1"/>
          <w:sz w:val="24"/>
        </w:rPr>
        <w:t xml:space="preserve"> </w:t>
      </w:r>
      <w:r w:rsidRPr="00781E34">
        <w:rPr>
          <w:rFonts w:ascii="Times" w:hAnsi="Times"/>
          <w:sz w:val="24"/>
        </w:rPr>
        <w:t>and identity</w:t>
      </w:r>
      <w:r w:rsidRPr="00781E34">
        <w:rPr>
          <w:rFonts w:ascii="Times" w:hAnsi="Times"/>
          <w:spacing w:val="-1"/>
          <w:sz w:val="24"/>
        </w:rPr>
        <w:t xml:space="preserve"> </w:t>
      </w:r>
      <w:r w:rsidRPr="00781E34">
        <w:rPr>
          <w:rFonts w:ascii="Times" w:hAnsi="Times"/>
          <w:sz w:val="24"/>
        </w:rPr>
        <w:t>theft</w:t>
      </w:r>
      <w:r w:rsidR="002E2066" w:rsidRPr="00781E34">
        <w:rPr>
          <w:rFonts w:ascii="Times" w:hAnsi="Times"/>
          <w:sz w:val="24"/>
        </w:rPr>
        <w:t>.</w:t>
      </w:r>
    </w:p>
    <w:p w14:paraId="17B3D4AD" w14:textId="77777777" w:rsidR="002E2066" w:rsidRPr="00781E34" w:rsidRDefault="002E2066" w:rsidP="000D5611">
      <w:pPr>
        <w:pStyle w:val="BodyText"/>
        <w:kinsoku w:val="0"/>
        <w:overflowPunct w:val="0"/>
        <w:spacing w:line="245" w:lineRule="exact"/>
        <w:ind w:right="159"/>
        <w:rPr>
          <w:rFonts w:ascii="Times" w:hAnsi="Times"/>
          <w:sz w:val="24"/>
        </w:rPr>
      </w:pPr>
    </w:p>
    <w:p w14:paraId="68F2AD17" w14:textId="77777777" w:rsidR="008E0DED" w:rsidRPr="00781E34" w:rsidRDefault="008E0DED" w:rsidP="000D5611">
      <w:pPr>
        <w:pStyle w:val="ListParagraph"/>
        <w:numPr>
          <w:ilvl w:val="0"/>
          <w:numId w:val="1"/>
        </w:numPr>
        <w:rPr>
          <w:rFonts w:ascii="Times" w:hAnsi="Times"/>
        </w:rPr>
      </w:pPr>
      <w:r w:rsidRPr="00781E34">
        <w:rPr>
          <w:rFonts w:ascii="Times" w:hAnsi="Times"/>
        </w:rPr>
        <w:t>SBA also did not provide other key information to help applicants estimate their potential loan amount. Specifically, the EIDL application form requests that applicants provide the dollar amounts for 12 months of gross revenues and cost of goods sold. These amounts are part of the calculation SBA uses to determine an applicant’s economic injury and ultimately the loan amount SBA could offer the applicant. However, as of April 2021, SBA had not clarified in its application, on its website, or in its most recent FAQ how it uses gross revenues and cost of goods sold to calculate the loan amount that it could offer.</w:t>
      </w:r>
    </w:p>
    <w:p w14:paraId="40E73232" w14:textId="77777777" w:rsidR="002E2066" w:rsidRPr="00781E34" w:rsidRDefault="002E2066" w:rsidP="000D5611">
      <w:pPr>
        <w:rPr>
          <w:rFonts w:ascii="Times" w:hAnsi="Times"/>
        </w:rPr>
      </w:pPr>
    </w:p>
    <w:p w14:paraId="007D7A71" w14:textId="2CC9B142" w:rsidR="00A241E4" w:rsidRDefault="00A241E4" w:rsidP="000D5611">
      <w:pPr>
        <w:pStyle w:val="ListParagraph"/>
        <w:numPr>
          <w:ilvl w:val="0"/>
          <w:numId w:val="1"/>
        </w:numPr>
        <w:rPr>
          <w:rFonts w:ascii="Times" w:hAnsi="Times"/>
        </w:rPr>
      </w:pPr>
      <w:r w:rsidRPr="00781E34">
        <w:rPr>
          <w:rFonts w:ascii="Times" w:hAnsi="Times"/>
        </w:rPr>
        <w:t>In February 2021, 11 months after the CARES Act revised the EIDL program in response to COVID-19, SBA defined “cost of goods sold” in its updated FAQ and provided a link to an Internal Revenue Service website for further information. However, the link takes the applicant to a webpage with over 30 links on a variety of topics, none of which are labeled “cost of goods sold.”</w:t>
      </w:r>
    </w:p>
    <w:p w14:paraId="721B95E4" w14:textId="77777777" w:rsidR="00A32FF3" w:rsidRPr="00A32FF3" w:rsidRDefault="00A32FF3" w:rsidP="00A32FF3">
      <w:pPr>
        <w:pStyle w:val="ListParagraph"/>
        <w:rPr>
          <w:rFonts w:ascii="Times" w:hAnsi="Times"/>
        </w:rPr>
      </w:pPr>
    </w:p>
    <w:p w14:paraId="2704767A" w14:textId="77777777" w:rsidR="00CE18A0" w:rsidRDefault="00CE18A0" w:rsidP="00CE18A0">
      <w:pPr>
        <w:pStyle w:val="ListParagraph"/>
        <w:rPr>
          <w:rFonts w:ascii="Times" w:hAnsi="Times" w:cs="Times New Roman (Body CS)"/>
          <w:b/>
          <w:u w:val="single"/>
        </w:rPr>
      </w:pPr>
    </w:p>
    <w:p w14:paraId="0A130D55" w14:textId="77777777" w:rsidR="00CE18A0" w:rsidRDefault="00CE18A0" w:rsidP="00CE18A0">
      <w:pPr>
        <w:pStyle w:val="ListParagraph"/>
        <w:rPr>
          <w:rFonts w:ascii="Times" w:hAnsi="Times" w:cs="Times New Roman (Body CS)"/>
          <w:b/>
          <w:u w:val="single"/>
        </w:rPr>
      </w:pPr>
    </w:p>
    <w:p w14:paraId="50A20160" w14:textId="7141F2F8" w:rsidR="00A32FF3" w:rsidRPr="00CE18A0" w:rsidRDefault="00A32FF3" w:rsidP="00CE18A0">
      <w:pPr>
        <w:pStyle w:val="ListParagraph"/>
        <w:rPr>
          <w:rFonts w:ascii="Times" w:hAnsi="Times" w:cs="Times New Roman (Body CS)"/>
          <w:b/>
          <w:u w:val="single"/>
        </w:rPr>
      </w:pPr>
      <w:r w:rsidRPr="00CE18A0">
        <w:rPr>
          <w:rFonts w:ascii="Times" w:hAnsi="Times" w:cs="Times New Roman (Body CS)"/>
          <w:b/>
          <w:u w:val="single"/>
        </w:rPr>
        <w:t>Advances of Cash Received Before SBA Made them Available Through Application</w:t>
      </w:r>
    </w:p>
    <w:p w14:paraId="68CEDF18" w14:textId="77777777" w:rsidR="008E0DED" w:rsidRPr="00781E34" w:rsidRDefault="008E0DED" w:rsidP="000D5611">
      <w:pPr>
        <w:pStyle w:val="BodyText"/>
        <w:kinsoku w:val="0"/>
        <w:overflowPunct w:val="0"/>
        <w:spacing w:line="245" w:lineRule="exact"/>
        <w:ind w:left="720" w:right="159"/>
        <w:rPr>
          <w:rFonts w:ascii="Times" w:hAnsi="Times"/>
          <w:sz w:val="24"/>
        </w:rPr>
      </w:pPr>
    </w:p>
    <w:p w14:paraId="65F0E074" w14:textId="77777777" w:rsidR="00CE18A0" w:rsidRDefault="00D0143D" w:rsidP="000D5611">
      <w:pPr>
        <w:rPr>
          <w:rFonts w:ascii="Times" w:hAnsi="Times" w:cs="Arial"/>
          <w:szCs w:val="22"/>
        </w:rPr>
      </w:pPr>
      <w:r>
        <w:rPr>
          <w:rFonts w:ascii="Times" w:hAnsi="Times" w:cs="Arial"/>
          <w:szCs w:val="22"/>
        </w:rPr>
        <w:tab/>
      </w:r>
    </w:p>
    <w:p w14:paraId="74BCD7D5" w14:textId="77777777" w:rsidR="00CE18A0" w:rsidRDefault="00CE18A0" w:rsidP="000D5611">
      <w:pPr>
        <w:rPr>
          <w:rFonts w:ascii="Times" w:hAnsi="Times" w:cs="Arial"/>
          <w:szCs w:val="22"/>
        </w:rPr>
      </w:pPr>
    </w:p>
    <w:p w14:paraId="635195B4" w14:textId="64DFB202" w:rsidR="00DB534B" w:rsidRPr="00781E34" w:rsidRDefault="00DB534B" w:rsidP="000D5611">
      <w:pPr>
        <w:rPr>
          <w:rFonts w:ascii="Times" w:hAnsi="Times"/>
        </w:rPr>
      </w:pPr>
      <w:r w:rsidRPr="00781E34">
        <w:rPr>
          <w:rFonts w:ascii="Times" w:hAnsi="Times"/>
        </w:rPr>
        <w:t>The SBA has a documented inability to communicate with applicants the most basic information related to loan eligibility and availability of funds related t</w:t>
      </w:r>
      <w:r w:rsidR="008948A0" w:rsidRPr="00781E34">
        <w:rPr>
          <w:rFonts w:ascii="Times" w:hAnsi="Times"/>
        </w:rPr>
        <w:t>o the EIDL program. Speci</w:t>
      </w:r>
      <w:r w:rsidR="00FB7C15" w:rsidRPr="00781E34">
        <w:rPr>
          <w:rFonts w:ascii="Times" w:hAnsi="Times"/>
        </w:rPr>
        <w:t>fically</w:t>
      </w:r>
      <w:r w:rsidRPr="00781E34">
        <w:rPr>
          <w:rFonts w:ascii="Times" w:hAnsi="Times"/>
        </w:rPr>
        <w:t>, the SBA failed to adequately inform applicants of EIDL loans of advances of cash available to them and the policies for eligibility and amount provided.</w:t>
      </w:r>
      <w:r w:rsidR="00D0143D">
        <w:rPr>
          <w:rFonts w:ascii="Times" w:hAnsi="Times"/>
        </w:rPr>
        <w:t xml:space="preserve"> </w:t>
      </w:r>
    </w:p>
    <w:p w14:paraId="4BE8F49B" w14:textId="77777777" w:rsidR="00DB534B" w:rsidRPr="00781E34" w:rsidRDefault="00DB534B" w:rsidP="000D5611">
      <w:pPr>
        <w:rPr>
          <w:rFonts w:ascii="Times" w:hAnsi="Times"/>
        </w:rPr>
      </w:pPr>
    </w:p>
    <w:p w14:paraId="42FCAC75" w14:textId="30B4DAC3" w:rsidR="00DB534B" w:rsidRPr="00781E34" w:rsidRDefault="00DB534B" w:rsidP="000D5611">
      <w:pPr>
        <w:ind w:left="720"/>
        <w:rPr>
          <w:rFonts w:ascii="Times" w:hAnsi="Times"/>
        </w:rPr>
      </w:pPr>
      <w:r w:rsidRPr="00781E34">
        <w:rPr>
          <w:rFonts w:ascii="Times" w:hAnsi="Times"/>
        </w:rPr>
        <w:t>Advance limits</w:t>
      </w:r>
      <w:r w:rsidR="00255DA4" w:rsidRPr="00781E34">
        <w:rPr>
          <w:rFonts w:ascii="Times" w:hAnsi="Times"/>
        </w:rPr>
        <w:t>:</w:t>
      </w:r>
      <w:r w:rsidRPr="00781E34">
        <w:rPr>
          <w:rFonts w:ascii="Times" w:hAnsi="Times"/>
        </w:rPr>
        <w:t xml:space="preserve"> SBA revised the limits on advances to $1,000 per employee and a maximum of $10,000 per applicant on April 7, 2020, and informed EIDL applicants that had applied about the revised limit by email on April 13, 2020. SBA also provided the revised advance limits during webinars. However, SBA did not communicate this information on its website or within the EIDL application. SBA included the limits on advances in a press releases issued on June 15, 2020, but as of early July 2020—almost 3 months after SBA revised the advance limits—SBA’s website still did not include this information</w:t>
      </w:r>
      <w:r w:rsidR="00AC7839">
        <w:rPr>
          <w:rStyle w:val="FootnoteReference"/>
          <w:rFonts w:ascii="Times" w:hAnsi="Times"/>
        </w:rPr>
        <w:footnoteReference w:id="10"/>
      </w:r>
      <w:r w:rsidRPr="00781E34">
        <w:rPr>
          <w:rFonts w:ascii="Times" w:hAnsi="Times"/>
        </w:rPr>
        <w:t>.</w:t>
      </w:r>
    </w:p>
    <w:p w14:paraId="7270EFA6" w14:textId="77777777" w:rsidR="00DB534B" w:rsidRPr="00781E34" w:rsidRDefault="00DB534B" w:rsidP="000D5611">
      <w:pPr>
        <w:ind w:left="720"/>
        <w:rPr>
          <w:rFonts w:ascii="Times" w:hAnsi="Times"/>
        </w:rPr>
      </w:pPr>
    </w:p>
    <w:p w14:paraId="71A6A9C3" w14:textId="003B6970" w:rsidR="00CB5232" w:rsidRPr="00781E34" w:rsidRDefault="00D74BB3" w:rsidP="000D5611">
      <w:pPr>
        <w:rPr>
          <w:rFonts w:ascii="Times" w:hAnsi="Times"/>
        </w:rPr>
      </w:pPr>
      <w:r>
        <w:rPr>
          <w:rFonts w:ascii="Times" w:hAnsi="Times"/>
        </w:rPr>
        <w:tab/>
      </w:r>
      <w:r w:rsidR="00DB534B" w:rsidRPr="00781E34">
        <w:rPr>
          <w:rFonts w:ascii="Times" w:hAnsi="Times"/>
        </w:rPr>
        <w:t>Georges Berges Gallery LLC’s ability to access a product t</w:t>
      </w:r>
      <w:r w:rsidR="00FB7C15" w:rsidRPr="00781E34">
        <w:rPr>
          <w:rFonts w:ascii="Times" w:hAnsi="Times"/>
        </w:rPr>
        <w:t>he SBA never communicated through</w:t>
      </w:r>
      <w:r w:rsidR="00DB534B" w:rsidRPr="00781E34">
        <w:rPr>
          <w:rFonts w:ascii="Times" w:hAnsi="Times"/>
        </w:rPr>
        <w:t xml:space="preserve"> the application or </w:t>
      </w:r>
      <w:r w:rsidR="00FB7C15" w:rsidRPr="00781E34">
        <w:rPr>
          <w:rFonts w:ascii="Times" w:hAnsi="Times"/>
        </w:rPr>
        <w:t xml:space="preserve">its </w:t>
      </w:r>
      <w:r w:rsidR="00DB534B" w:rsidRPr="00781E34">
        <w:rPr>
          <w:rFonts w:ascii="Times" w:hAnsi="Times"/>
        </w:rPr>
        <w:t>website</w:t>
      </w:r>
      <w:r w:rsidR="00C21D54" w:rsidRPr="00781E34">
        <w:rPr>
          <w:rFonts w:ascii="Times" w:hAnsi="Times"/>
        </w:rPr>
        <w:t xml:space="preserve"> leads us to believe that Georges Berges Gallery LLC</w:t>
      </w:r>
      <w:r w:rsidR="00DB534B" w:rsidRPr="00781E34">
        <w:rPr>
          <w:rFonts w:ascii="Times" w:hAnsi="Times"/>
        </w:rPr>
        <w:t xml:space="preserve"> has an inside track to SBA funds.</w:t>
      </w:r>
      <w:r w:rsidR="00D0143D">
        <w:rPr>
          <w:rFonts w:ascii="Times" w:hAnsi="Times"/>
        </w:rPr>
        <w:t xml:space="preserve"> In fact,</w:t>
      </w:r>
      <w:r w:rsidR="00255DA4" w:rsidRPr="00781E34">
        <w:rPr>
          <w:rFonts w:ascii="Times" w:hAnsi="Times"/>
        </w:rPr>
        <w:t xml:space="preserve"> </w:t>
      </w:r>
      <w:r w:rsidR="00C21D54" w:rsidRPr="00781E34">
        <w:rPr>
          <w:rFonts w:ascii="Times" w:hAnsi="Times"/>
        </w:rPr>
        <w:t xml:space="preserve">the gallery </w:t>
      </w:r>
      <w:r w:rsidR="00255DA4" w:rsidRPr="00781E34">
        <w:rPr>
          <w:rFonts w:ascii="Times" w:hAnsi="Times"/>
        </w:rPr>
        <w:t xml:space="preserve">received a cash advance of $1,000 for </w:t>
      </w:r>
      <w:r w:rsidR="00B722B4" w:rsidRPr="00781E34">
        <w:rPr>
          <w:rFonts w:ascii="Times" w:hAnsi="Times"/>
        </w:rPr>
        <w:t xml:space="preserve">each of </w:t>
      </w:r>
      <w:r w:rsidR="00255DA4" w:rsidRPr="00781E34">
        <w:rPr>
          <w:rFonts w:ascii="Times" w:hAnsi="Times"/>
        </w:rPr>
        <w:t>their two employees within 7 days of the SBA emailing applicants about the availability of funds</w:t>
      </w:r>
      <w:r w:rsidR="003D2612">
        <w:rPr>
          <w:rStyle w:val="FootnoteReference"/>
          <w:rFonts w:ascii="Times" w:hAnsi="Times"/>
        </w:rPr>
        <w:footnoteReference w:id="11"/>
      </w:r>
      <w:r w:rsidR="00255DA4" w:rsidRPr="00781E34">
        <w:rPr>
          <w:rFonts w:ascii="Times" w:hAnsi="Times"/>
        </w:rPr>
        <w:t>.</w:t>
      </w:r>
      <w:r w:rsidR="00D0143D">
        <w:rPr>
          <w:rFonts w:ascii="Times" w:hAnsi="Times"/>
        </w:rPr>
        <w:t xml:space="preserve"> </w:t>
      </w:r>
      <w:r w:rsidR="00255DA4" w:rsidRPr="00781E34">
        <w:rPr>
          <w:rFonts w:ascii="Times" w:hAnsi="Times"/>
        </w:rPr>
        <w:lastRenderedPageBreak/>
        <w:t>The G</w:t>
      </w:r>
      <w:r w:rsidR="00C21D54" w:rsidRPr="00781E34">
        <w:rPr>
          <w:rFonts w:ascii="Times" w:hAnsi="Times"/>
        </w:rPr>
        <w:t>AO found in their report the average</w:t>
      </w:r>
      <w:r w:rsidR="00255DA4" w:rsidRPr="00781E34">
        <w:rPr>
          <w:rFonts w:ascii="Times" w:hAnsi="Times"/>
        </w:rPr>
        <w:t xml:space="preserve"> time of response by the SBA </w:t>
      </w:r>
      <w:r w:rsidR="00B722B4" w:rsidRPr="00781E34">
        <w:rPr>
          <w:rFonts w:ascii="Times" w:hAnsi="Times"/>
        </w:rPr>
        <w:t xml:space="preserve">on EIDL funding </w:t>
      </w:r>
      <w:r w:rsidR="00255DA4" w:rsidRPr="00781E34">
        <w:rPr>
          <w:rFonts w:ascii="Times" w:hAnsi="Times"/>
        </w:rPr>
        <w:t xml:space="preserve">was </w:t>
      </w:r>
      <w:r w:rsidR="0003694D">
        <w:rPr>
          <w:rFonts w:ascii="Times" w:hAnsi="Times"/>
        </w:rPr>
        <w:t>60</w:t>
      </w:r>
      <w:r w:rsidR="00255DA4" w:rsidRPr="00781E34">
        <w:rPr>
          <w:rFonts w:ascii="Times" w:hAnsi="Times"/>
        </w:rPr>
        <w:t xml:space="preserve"> days.</w:t>
      </w:r>
      <w:r w:rsidR="00D0143D">
        <w:rPr>
          <w:rFonts w:ascii="Times" w:hAnsi="Times"/>
        </w:rPr>
        <w:t xml:space="preserve"> </w:t>
      </w:r>
      <w:r w:rsidR="00255DA4" w:rsidRPr="00781E34">
        <w:rPr>
          <w:rFonts w:ascii="Times" w:hAnsi="Times"/>
        </w:rPr>
        <w:t>How did Georges Berges Gallery LLC get approved for an advance within 7 days of being notifi</w:t>
      </w:r>
      <w:r w:rsidR="00C21D54" w:rsidRPr="00781E34">
        <w:rPr>
          <w:rFonts w:ascii="Times" w:hAnsi="Times"/>
        </w:rPr>
        <w:t>ed of available funds if the average</w:t>
      </w:r>
      <w:r w:rsidR="00255DA4" w:rsidRPr="00781E34">
        <w:rPr>
          <w:rFonts w:ascii="Times" w:hAnsi="Times"/>
        </w:rPr>
        <w:t xml:space="preserve"> wait time for response is </w:t>
      </w:r>
      <w:r w:rsidR="00BD030C">
        <w:rPr>
          <w:rFonts w:ascii="Times" w:hAnsi="Times"/>
        </w:rPr>
        <w:t>60</w:t>
      </w:r>
      <w:r w:rsidR="00255DA4" w:rsidRPr="00781E34">
        <w:rPr>
          <w:rFonts w:ascii="Times" w:hAnsi="Times"/>
        </w:rPr>
        <w:t xml:space="preserve"> days?</w:t>
      </w:r>
      <w:r w:rsidR="00BD030C">
        <w:rPr>
          <w:rStyle w:val="FootnoteReference"/>
          <w:rFonts w:ascii="Times" w:hAnsi="Times"/>
        </w:rPr>
        <w:footnoteReference w:id="12"/>
      </w:r>
      <w:r w:rsidR="00D0143D">
        <w:rPr>
          <w:rFonts w:ascii="Times" w:hAnsi="Times"/>
        </w:rPr>
        <w:t xml:space="preserve"> </w:t>
      </w:r>
      <w:r w:rsidR="00A32FF3">
        <w:rPr>
          <w:rFonts w:ascii="Times" w:hAnsi="Times"/>
        </w:rPr>
        <w:t xml:space="preserve"> How did Georges </w:t>
      </w:r>
      <w:proofErr w:type="spellStart"/>
      <w:r w:rsidR="00A32FF3">
        <w:rPr>
          <w:rFonts w:ascii="Times" w:hAnsi="Times"/>
        </w:rPr>
        <w:t>Berges</w:t>
      </w:r>
      <w:proofErr w:type="spellEnd"/>
      <w:r w:rsidR="00A32FF3">
        <w:rPr>
          <w:rFonts w:ascii="Times" w:hAnsi="Times"/>
        </w:rPr>
        <w:t xml:space="preserve"> Gallery apply for these funds if there was no application available to file?</w:t>
      </w:r>
      <w:r w:rsidR="00AC72F2">
        <w:rPr>
          <w:rFonts w:ascii="Times" w:hAnsi="Times"/>
        </w:rPr>
        <w:t xml:space="preserve">  Did the SBA voluntarily provide the cash advances without Georges </w:t>
      </w:r>
      <w:proofErr w:type="spellStart"/>
      <w:r w:rsidR="00AC72F2">
        <w:rPr>
          <w:rFonts w:ascii="Times" w:hAnsi="Times"/>
        </w:rPr>
        <w:t>Berges</w:t>
      </w:r>
      <w:proofErr w:type="spellEnd"/>
      <w:r w:rsidR="00AC72F2">
        <w:rPr>
          <w:rFonts w:ascii="Times" w:hAnsi="Times"/>
        </w:rPr>
        <w:t xml:space="preserve"> Gallery LLC applying? </w:t>
      </w:r>
      <w:r w:rsidR="00306150">
        <w:rPr>
          <w:rFonts w:ascii="Times" w:hAnsi="Times"/>
        </w:rPr>
        <w:t xml:space="preserve"> An examination of other galleries receiving advances shows the SBA was disbursing funds in a non-uniform way.  It is virtually impossible to know what occurred here without an investigation into the cash advance program connected to EIDL loans.  </w:t>
      </w:r>
      <w:r w:rsidR="00AC72F2">
        <w:rPr>
          <w:rFonts w:ascii="Times" w:hAnsi="Times"/>
        </w:rPr>
        <w:t xml:space="preserve"> </w:t>
      </w:r>
    </w:p>
    <w:p w14:paraId="21CBA4CA" w14:textId="77777777" w:rsidR="00DA0DC2" w:rsidRPr="00781E34" w:rsidRDefault="00DA0DC2" w:rsidP="000D5611">
      <w:pPr>
        <w:rPr>
          <w:rFonts w:ascii="Times" w:hAnsi="Times"/>
        </w:rPr>
      </w:pPr>
    </w:p>
    <w:p w14:paraId="1C7D921B" w14:textId="02DE777B" w:rsidR="00DA0DC2" w:rsidRPr="00781E34" w:rsidRDefault="00D74BB3" w:rsidP="000D5611">
      <w:pPr>
        <w:rPr>
          <w:rFonts w:ascii="Times" w:hAnsi="Times"/>
        </w:rPr>
      </w:pPr>
      <w:r>
        <w:rPr>
          <w:rFonts w:ascii="Times" w:hAnsi="Times"/>
        </w:rPr>
        <w:tab/>
      </w:r>
      <w:r w:rsidR="00DA0DC2" w:rsidRPr="00781E34">
        <w:rPr>
          <w:rFonts w:ascii="Times" w:hAnsi="Times"/>
        </w:rPr>
        <w:t>Th</w:t>
      </w:r>
      <w:r w:rsidR="00B16C1C" w:rsidRPr="00781E34">
        <w:rPr>
          <w:rFonts w:ascii="Times" w:hAnsi="Times"/>
        </w:rPr>
        <w:t xml:space="preserve">e other issue </w:t>
      </w:r>
      <w:r w:rsidR="00DA0DC2" w:rsidRPr="00781E34">
        <w:rPr>
          <w:rFonts w:ascii="Times" w:hAnsi="Times"/>
        </w:rPr>
        <w:t xml:space="preserve">is the amount </w:t>
      </w:r>
      <w:r w:rsidR="00B16C1C" w:rsidRPr="00781E34">
        <w:rPr>
          <w:rFonts w:ascii="Times" w:hAnsi="Times"/>
        </w:rPr>
        <w:t xml:space="preserve">of the loan </w:t>
      </w:r>
      <w:r w:rsidR="00DA0DC2" w:rsidRPr="00781E34">
        <w:rPr>
          <w:rFonts w:ascii="Times" w:hAnsi="Times"/>
        </w:rPr>
        <w:t>provided to Georges Berges Gallery LLC.</w:t>
      </w:r>
      <w:r w:rsidR="00D0143D">
        <w:rPr>
          <w:rFonts w:ascii="Times" w:hAnsi="Times"/>
        </w:rPr>
        <w:t xml:space="preserve"> </w:t>
      </w:r>
      <w:r w:rsidR="00DA0DC2" w:rsidRPr="00781E34">
        <w:rPr>
          <w:rFonts w:ascii="Times" w:hAnsi="Times"/>
        </w:rPr>
        <w:t>The SBA claims to have a formula they use to decide loan amount eligibility.</w:t>
      </w:r>
      <w:r w:rsidR="00D0143D">
        <w:rPr>
          <w:rFonts w:ascii="Times" w:hAnsi="Times"/>
        </w:rPr>
        <w:t xml:space="preserve"> </w:t>
      </w:r>
      <w:r w:rsidR="00DA0DC2" w:rsidRPr="00781E34">
        <w:rPr>
          <w:rFonts w:ascii="Times" w:hAnsi="Times"/>
        </w:rPr>
        <w:t>The SBA asks applicants to provide gross revenue amounts and cost of goods as the basis for their equation on amount eligibility</w:t>
      </w:r>
      <w:r w:rsidR="0003694D">
        <w:rPr>
          <w:rStyle w:val="FootnoteReference"/>
          <w:rFonts w:ascii="Times" w:hAnsi="Times"/>
        </w:rPr>
        <w:footnoteReference w:id="13"/>
      </w:r>
      <w:r w:rsidR="00DA0DC2" w:rsidRPr="00781E34">
        <w:rPr>
          <w:rFonts w:ascii="Times" w:hAnsi="Times"/>
        </w:rPr>
        <w:t>:</w:t>
      </w:r>
      <w:r w:rsidR="00D0143D">
        <w:rPr>
          <w:rFonts w:ascii="Times" w:hAnsi="Times"/>
        </w:rPr>
        <w:t xml:space="preserve"> </w:t>
      </w:r>
    </w:p>
    <w:p w14:paraId="185ADC8B" w14:textId="77777777" w:rsidR="00DA0DC2" w:rsidRPr="00781E34" w:rsidRDefault="00DA0DC2" w:rsidP="000D5611">
      <w:pPr>
        <w:rPr>
          <w:rFonts w:ascii="Times" w:hAnsi="Times"/>
        </w:rPr>
      </w:pPr>
    </w:p>
    <w:p w14:paraId="70CB85F4" w14:textId="77777777" w:rsidR="00734558" w:rsidRDefault="00DA0DC2" w:rsidP="00734558">
      <w:pPr>
        <w:pStyle w:val="CM13"/>
        <w:spacing w:after="142" w:line="278" w:lineRule="atLeast"/>
        <w:ind w:left="720"/>
        <w:rPr>
          <w:rFonts w:ascii="Times" w:hAnsi="Times" w:cs="Source Sans Pro"/>
          <w:color w:val="000000"/>
          <w:szCs w:val="22"/>
        </w:rPr>
      </w:pPr>
      <w:r w:rsidRPr="00781E34">
        <w:rPr>
          <w:rFonts w:ascii="Times" w:hAnsi="Times" w:cs="Source Sans Pro"/>
          <w:color w:val="000000"/>
          <w:szCs w:val="22"/>
        </w:rPr>
        <w:t xml:space="preserve">If Applicant business was in operation before January 1, 2019, the maximum eligible loan amount is calculated as follows: </w:t>
      </w:r>
    </w:p>
    <w:p w14:paraId="4ADECA17" w14:textId="77777777" w:rsidR="00734558" w:rsidRDefault="00734558" w:rsidP="00734558">
      <w:pPr>
        <w:pStyle w:val="CM13"/>
        <w:spacing w:after="142" w:line="278" w:lineRule="atLeast"/>
        <w:ind w:left="900" w:hanging="180"/>
        <w:rPr>
          <w:rFonts w:ascii="Times" w:hAnsi="Times"/>
          <w:szCs w:val="22"/>
        </w:rPr>
      </w:pPr>
      <w:r>
        <w:rPr>
          <w:rFonts w:ascii="Times" w:hAnsi="Times" w:cs="Source Sans Pro"/>
          <w:color w:val="000000"/>
          <w:szCs w:val="22"/>
        </w:rPr>
        <w:t xml:space="preserve">• </w:t>
      </w:r>
      <w:r w:rsidR="00DA0DC2" w:rsidRPr="00781E34">
        <w:rPr>
          <w:rFonts w:ascii="Times" w:hAnsi="Times"/>
          <w:szCs w:val="22"/>
        </w:rPr>
        <w:t xml:space="preserve">2019 gross receipts or sales minus 2019 cost of goods sold multiplied by 2, or $500,000, whichever is less </w:t>
      </w:r>
    </w:p>
    <w:p w14:paraId="5FFBB649" w14:textId="77777777" w:rsidR="00DA0DC2" w:rsidRPr="00D0143D" w:rsidRDefault="00734558" w:rsidP="00D0143D">
      <w:pPr>
        <w:pStyle w:val="CM13"/>
        <w:spacing w:after="142" w:line="278" w:lineRule="atLeast"/>
        <w:ind w:left="900" w:hanging="180"/>
        <w:rPr>
          <w:rFonts w:ascii="Times" w:hAnsi="Times" w:cs="Source Sans Pro"/>
          <w:color w:val="000000"/>
          <w:szCs w:val="22"/>
        </w:rPr>
      </w:pPr>
      <w:r>
        <w:rPr>
          <w:rFonts w:ascii="Times" w:hAnsi="Times"/>
          <w:szCs w:val="22"/>
        </w:rPr>
        <w:t xml:space="preserve">• </w:t>
      </w:r>
      <w:r w:rsidR="00DA0DC2" w:rsidRPr="00781E34">
        <w:rPr>
          <w:rFonts w:ascii="Times" w:hAnsi="Times"/>
          <w:szCs w:val="22"/>
        </w:rPr>
        <w:t xml:space="preserve">For rental loss: Actual 2019 rent received minus actual 2020 rent received multiplied by 2, or $500,000, whichever is less </w:t>
      </w:r>
    </w:p>
    <w:p w14:paraId="568CF7DE" w14:textId="612EFB47" w:rsidR="00F6713C" w:rsidRPr="00781E34" w:rsidRDefault="00D74BB3" w:rsidP="000D5611">
      <w:pPr>
        <w:pStyle w:val="Default"/>
        <w:rPr>
          <w:rFonts w:ascii="Times" w:hAnsi="Times"/>
          <w:szCs w:val="22"/>
        </w:rPr>
      </w:pPr>
      <w:r>
        <w:rPr>
          <w:rFonts w:ascii="Times" w:hAnsi="Times"/>
          <w:szCs w:val="22"/>
        </w:rPr>
        <w:tab/>
      </w:r>
      <w:r w:rsidR="00BC5471">
        <w:rPr>
          <w:rFonts w:ascii="Times" w:hAnsi="Times"/>
          <w:szCs w:val="22"/>
        </w:rPr>
        <w:t>NLPC</w:t>
      </w:r>
      <w:r w:rsidR="002A3EC2" w:rsidRPr="00781E34">
        <w:rPr>
          <w:rFonts w:ascii="Times" w:hAnsi="Times"/>
          <w:szCs w:val="22"/>
        </w:rPr>
        <w:t xml:space="preserve"> believes this equation may </w:t>
      </w:r>
      <w:r w:rsidR="00C00E45" w:rsidRPr="00781E34">
        <w:rPr>
          <w:rFonts w:ascii="Times" w:hAnsi="Times"/>
          <w:szCs w:val="22"/>
        </w:rPr>
        <w:t>not have</w:t>
      </w:r>
      <w:r w:rsidR="002A3EC2" w:rsidRPr="00781E34">
        <w:rPr>
          <w:rFonts w:ascii="Times" w:hAnsi="Times"/>
          <w:szCs w:val="22"/>
        </w:rPr>
        <w:t xml:space="preserve"> been used</w:t>
      </w:r>
      <w:r w:rsidR="000D5611" w:rsidRPr="00781E34">
        <w:rPr>
          <w:rFonts w:ascii="Times" w:hAnsi="Times"/>
          <w:szCs w:val="22"/>
        </w:rPr>
        <w:t>,</w:t>
      </w:r>
      <w:r w:rsidR="002A3EC2" w:rsidRPr="00781E34">
        <w:rPr>
          <w:rFonts w:ascii="Times" w:hAnsi="Times"/>
          <w:szCs w:val="22"/>
        </w:rPr>
        <w:t xml:space="preserve"> </w:t>
      </w:r>
      <w:r w:rsidR="008403A2" w:rsidRPr="00781E34">
        <w:rPr>
          <w:rFonts w:ascii="Times" w:hAnsi="Times"/>
          <w:szCs w:val="22"/>
        </w:rPr>
        <w:t>or inaccurate</w:t>
      </w:r>
      <w:r w:rsidR="00C00E45" w:rsidRPr="00781E34">
        <w:rPr>
          <w:rFonts w:ascii="Times" w:hAnsi="Times"/>
          <w:szCs w:val="22"/>
        </w:rPr>
        <w:t xml:space="preserve"> information was provided</w:t>
      </w:r>
      <w:r w:rsidR="000D5611" w:rsidRPr="00781E34">
        <w:rPr>
          <w:rFonts w:ascii="Times" w:hAnsi="Times"/>
          <w:szCs w:val="22"/>
        </w:rPr>
        <w:t>,</w:t>
      </w:r>
      <w:r w:rsidR="00C00E45" w:rsidRPr="00781E34">
        <w:rPr>
          <w:rFonts w:ascii="Times" w:hAnsi="Times"/>
          <w:szCs w:val="22"/>
        </w:rPr>
        <w:t xml:space="preserve"> </w:t>
      </w:r>
      <w:r w:rsidR="002A3EC2" w:rsidRPr="00781E34">
        <w:rPr>
          <w:rFonts w:ascii="Times" w:hAnsi="Times"/>
          <w:szCs w:val="22"/>
        </w:rPr>
        <w:t>when the SBA approved the</w:t>
      </w:r>
      <w:r w:rsidR="008E7472" w:rsidRPr="00781E34">
        <w:rPr>
          <w:rFonts w:ascii="Times" w:hAnsi="Times"/>
          <w:szCs w:val="22"/>
        </w:rPr>
        <w:t xml:space="preserve"> maximum of $500,000 to the Geor</w:t>
      </w:r>
      <w:r w:rsidR="002A3EC2" w:rsidRPr="00781E34">
        <w:rPr>
          <w:rFonts w:ascii="Times" w:hAnsi="Times"/>
          <w:szCs w:val="22"/>
        </w:rPr>
        <w:t>ges Berges Gallery LLC</w:t>
      </w:r>
      <w:r w:rsidR="00C21237" w:rsidRPr="00781E34">
        <w:rPr>
          <w:rFonts w:ascii="Times" w:hAnsi="Times"/>
          <w:szCs w:val="22"/>
        </w:rPr>
        <w:t>. In a federal lawsuit against Georges Berges,</w:t>
      </w:r>
      <w:r w:rsidR="006365D6" w:rsidRPr="00781E34">
        <w:rPr>
          <w:rFonts w:ascii="Times" w:hAnsi="Times"/>
          <w:szCs w:val="22"/>
        </w:rPr>
        <w:t xml:space="preserve"> an investor accused Berges of fraud and running a gallery strapped for cash</w:t>
      </w:r>
      <w:r w:rsidR="009B1021">
        <w:rPr>
          <w:rStyle w:val="FootnoteReference"/>
          <w:rFonts w:ascii="Times" w:hAnsi="Times"/>
          <w:szCs w:val="22"/>
        </w:rPr>
        <w:footnoteReference w:id="14"/>
      </w:r>
      <w:r w:rsidR="006365D6" w:rsidRPr="00781E34">
        <w:rPr>
          <w:rFonts w:ascii="Times" w:hAnsi="Times"/>
          <w:szCs w:val="22"/>
        </w:rPr>
        <w:t>.</w:t>
      </w:r>
      <w:r w:rsidR="00D0143D">
        <w:rPr>
          <w:rFonts w:ascii="Times" w:hAnsi="Times"/>
          <w:szCs w:val="22"/>
        </w:rPr>
        <w:t xml:space="preserve"> </w:t>
      </w:r>
      <w:r w:rsidR="006365D6" w:rsidRPr="00781E34">
        <w:rPr>
          <w:rFonts w:ascii="Times" w:hAnsi="Times"/>
          <w:szCs w:val="22"/>
        </w:rPr>
        <w:t>The case was settled in 2018</w:t>
      </w:r>
      <w:r w:rsidR="009B1021">
        <w:rPr>
          <w:rStyle w:val="FootnoteReference"/>
          <w:rFonts w:ascii="Times" w:hAnsi="Times"/>
          <w:szCs w:val="22"/>
        </w:rPr>
        <w:footnoteReference w:id="15"/>
      </w:r>
      <w:r w:rsidR="006365D6" w:rsidRPr="00781E34">
        <w:rPr>
          <w:rFonts w:ascii="Times" w:hAnsi="Times"/>
          <w:szCs w:val="22"/>
        </w:rPr>
        <w:t>, one year before the 2019 gross revenue and cost of service numbers used for the equation for the $500,000 loan approval.</w:t>
      </w:r>
      <w:r w:rsidR="0003694D">
        <w:rPr>
          <w:rFonts w:ascii="Times" w:hAnsi="Times"/>
          <w:szCs w:val="22"/>
        </w:rPr>
        <w:t xml:space="preserve">  Due to these </w:t>
      </w:r>
      <w:proofErr w:type="gramStart"/>
      <w:r w:rsidR="0003694D">
        <w:rPr>
          <w:rFonts w:ascii="Times" w:hAnsi="Times"/>
          <w:szCs w:val="22"/>
        </w:rPr>
        <w:t>issues</w:t>
      </w:r>
      <w:proofErr w:type="gramEnd"/>
      <w:r w:rsidR="0003694D">
        <w:rPr>
          <w:rFonts w:ascii="Times" w:hAnsi="Times"/>
          <w:szCs w:val="22"/>
        </w:rPr>
        <w:t xml:space="preserve"> we feel it is possible Georges </w:t>
      </w:r>
      <w:proofErr w:type="spellStart"/>
      <w:r w:rsidR="0003694D">
        <w:rPr>
          <w:rFonts w:ascii="Times" w:hAnsi="Times"/>
          <w:szCs w:val="22"/>
        </w:rPr>
        <w:t>Berges</w:t>
      </w:r>
      <w:proofErr w:type="spellEnd"/>
      <w:r w:rsidR="0003694D">
        <w:rPr>
          <w:rFonts w:ascii="Times" w:hAnsi="Times"/>
          <w:szCs w:val="22"/>
        </w:rPr>
        <w:t xml:space="preserve"> Gallery LLC may be violating SBA policy by using these funds to expand their business through Hunter Biden’s art collection they are displaying</w:t>
      </w:r>
      <w:r w:rsidR="00222A4C">
        <w:rPr>
          <w:rStyle w:val="FootnoteReference"/>
          <w:rFonts w:ascii="Times" w:hAnsi="Times"/>
          <w:szCs w:val="22"/>
        </w:rPr>
        <w:footnoteReference w:id="16"/>
      </w:r>
      <w:r w:rsidR="0003694D">
        <w:rPr>
          <w:rFonts w:ascii="Times" w:hAnsi="Times"/>
          <w:szCs w:val="22"/>
        </w:rPr>
        <w:t xml:space="preserve">. </w:t>
      </w:r>
    </w:p>
    <w:p w14:paraId="790DE852" w14:textId="77777777" w:rsidR="00F6713C" w:rsidRPr="00781E34" w:rsidRDefault="00F6713C" w:rsidP="000D5611">
      <w:pPr>
        <w:pStyle w:val="Default"/>
        <w:rPr>
          <w:rFonts w:ascii="Times" w:hAnsi="Times"/>
          <w:szCs w:val="22"/>
        </w:rPr>
      </w:pPr>
    </w:p>
    <w:p w14:paraId="2596887A" w14:textId="0D9F9669" w:rsidR="00DA7D80" w:rsidRPr="00781E34" w:rsidRDefault="00D74BB3" w:rsidP="000D5611">
      <w:pPr>
        <w:pStyle w:val="Default"/>
        <w:rPr>
          <w:rFonts w:ascii="Times" w:hAnsi="Times"/>
          <w:szCs w:val="22"/>
        </w:rPr>
      </w:pPr>
      <w:r>
        <w:rPr>
          <w:rFonts w:ascii="Times" w:hAnsi="Times"/>
          <w:szCs w:val="22"/>
        </w:rPr>
        <w:tab/>
      </w:r>
      <w:r w:rsidR="006B6086">
        <w:rPr>
          <w:rFonts w:ascii="Times" w:hAnsi="Times"/>
          <w:szCs w:val="22"/>
        </w:rPr>
        <w:t>Real Estate</w:t>
      </w:r>
      <w:r w:rsidR="00267CC9">
        <w:rPr>
          <w:rFonts w:ascii="Times" w:hAnsi="Times"/>
          <w:szCs w:val="22"/>
        </w:rPr>
        <w:t xml:space="preserve"> and Uniform Commercial Code (UCC)</w:t>
      </w:r>
      <w:r w:rsidR="00F6713C" w:rsidRPr="00781E34">
        <w:rPr>
          <w:rFonts w:ascii="Times" w:hAnsi="Times"/>
          <w:szCs w:val="22"/>
        </w:rPr>
        <w:t xml:space="preserve"> records</w:t>
      </w:r>
      <w:r w:rsidR="008403A2" w:rsidRPr="00781E34">
        <w:rPr>
          <w:rFonts w:ascii="Times" w:hAnsi="Times"/>
          <w:szCs w:val="22"/>
        </w:rPr>
        <w:t>,</w:t>
      </w:r>
      <w:r w:rsidR="00F6713C" w:rsidRPr="00781E34">
        <w:rPr>
          <w:rFonts w:ascii="Times" w:hAnsi="Times"/>
          <w:szCs w:val="22"/>
        </w:rPr>
        <w:t xml:space="preserve"> as well as media reports</w:t>
      </w:r>
      <w:r w:rsidR="008403A2" w:rsidRPr="00781E34">
        <w:rPr>
          <w:rFonts w:ascii="Times" w:hAnsi="Times"/>
          <w:szCs w:val="22"/>
        </w:rPr>
        <w:t>,</w:t>
      </w:r>
      <w:r w:rsidR="008E7472" w:rsidRPr="00781E34">
        <w:rPr>
          <w:rFonts w:ascii="Times" w:hAnsi="Times"/>
          <w:szCs w:val="22"/>
        </w:rPr>
        <w:t xml:space="preserve"> bring into question whether Georges Berges posted the required collateral for the loan</w:t>
      </w:r>
      <w:r w:rsidR="00F6713C" w:rsidRPr="00781E34">
        <w:rPr>
          <w:rFonts w:ascii="Times" w:hAnsi="Times"/>
          <w:szCs w:val="22"/>
        </w:rPr>
        <w:t>.</w:t>
      </w:r>
      <w:r w:rsidR="00D0143D">
        <w:rPr>
          <w:rFonts w:ascii="Times" w:hAnsi="Times"/>
          <w:szCs w:val="22"/>
        </w:rPr>
        <w:t xml:space="preserve"> </w:t>
      </w:r>
      <w:r w:rsidR="00F6713C" w:rsidRPr="00781E34">
        <w:rPr>
          <w:rFonts w:ascii="Times" w:hAnsi="Times"/>
          <w:szCs w:val="22"/>
        </w:rPr>
        <w:t>For all EIDL loans above $200,000 the SBA requires a personal guarantee of repayment</w:t>
      </w:r>
      <w:r w:rsidR="00222A4C">
        <w:rPr>
          <w:rStyle w:val="FootnoteReference"/>
          <w:rFonts w:ascii="Times" w:hAnsi="Times"/>
          <w:szCs w:val="22"/>
        </w:rPr>
        <w:footnoteReference w:id="17"/>
      </w:r>
      <w:r w:rsidR="00F6713C" w:rsidRPr="00781E34">
        <w:rPr>
          <w:rFonts w:ascii="Times" w:hAnsi="Times"/>
          <w:szCs w:val="22"/>
        </w:rPr>
        <w:t>.</w:t>
      </w:r>
      <w:r w:rsidR="00D0143D">
        <w:rPr>
          <w:rFonts w:ascii="Times" w:hAnsi="Times"/>
          <w:szCs w:val="22"/>
        </w:rPr>
        <w:t xml:space="preserve"> </w:t>
      </w:r>
      <w:r w:rsidR="00F6713C" w:rsidRPr="00781E34">
        <w:rPr>
          <w:rFonts w:ascii="Times" w:hAnsi="Times"/>
          <w:szCs w:val="22"/>
        </w:rPr>
        <w:t>The SBA prefers land and property as collateral for EIDL loans above $200,000.</w:t>
      </w:r>
      <w:r w:rsidR="00D0143D">
        <w:rPr>
          <w:rFonts w:ascii="Times" w:hAnsi="Times"/>
          <w:szCs w:val="22"/>
        </w:rPr>
        <w:t xml:space="preserve"> </w:t>
      </w:r>
      <w:r w:rsidR="00F6713C" w:rsidRPr="00781E34">
        <w:rPr>
          <w:rFonts w:ascii="Times" w:hAnsi="Times"/>
          <w:szCs w:val="22"/>
        </w:rPr>
        <w:t xml:space="preserve">A UCC and property record search of Georges Berges didn’t show a lien or UCC placed on Berges or the condo he </w:t>
      </w:r>
      <w:r w:rsidR="00F6713C" w:rsidRPr="00781E34">
        <w:rPr>
          <w:rFonts w:ascii="Times" w:hAnsi="Times"/>
          <w:szCs w:val="22"/>
        </w:rPr>
        <w:lastRenderedPageBreak/>
        <w:t>owns in Manhattan</w:t>
      </w:r>
      <w:r w:rsidR="00EB2356">
        <w:rPr>
          <w:rStyle w:val="FootnoteReference"/>
          <w:rFonts w:ascii="Times" w:hAnsi="Times"/>
          <w:szCs w:val="22"/>
        </w:rPr>
        <w:footnoteReference w:id="18"/>
      </w:r>
      <w:r w:rsidR="00F6713C" w:rsidRPr="00781E34">
        <w:rPr>
          <w:rFonts w:ascii="Times" w:hAnsi="Times"/>
          <w:szCs w:val="22"/>
        </w:rPr>
        <w:t>.</w:t>
      </w:r>
      <w:r w:rsidR="00D0143D">
        <w:rPr>
          <w:rFonts w:ascii="Times" w:hAnsi="Times"/>
          <w:szCs w:val="22"/>
        </w:rPr>
        <w:t xml:space="preserve"> </w:t>
      </w:r>
      <w:r w:rsidR="00DA7D80" w:rsidRPr="00781E34">
        <w:rPr>
          <w:rFonts w:ascii="Times" w:hAnsi="Times"/>
          <w:szCs w:val="22"/>
        </w:rPr>
        <w:t>This appears to be a violation of SBA rules related to this EIDL loan.</w:t>
      </w:r>
      <w:r w:rsidR="00D0143D">
        <w:rPr>
          <w:rFonts w:ascii="Times" w:hAnsi="Times"/>
          <w:szCs w:val="22"/>
        </w:rPr>
        <w:t xml:space="preserve"> </w:t>
      </w:r>
      <w:r w:rsidR="00DA7D80" w:rsidRPr="00781E34">
        <w:rPr>
          <w:rFonts w:ascii="Times" w:hAnsi="Times"/>
          <w:szCs w:val="22"/>
        </w:rPr>
        <w:t>The SBA approved the maximum increase to the Georges Berges Gallery LLC on July 26, 2021, weeks before the Hunter Biden art show debut where several works of art were sold for $75,000 each</w:t>
      </w:r>
      <w:r w:rsidR="0027745F">
        <w:rPr>
          <w:rFonts w:ascii="Times" w:hAnsi="Times"/>
          <w:szCs w:val="22"/>
        </w:rPr>
        <w:t>,</w:t>
      </w:r>
      <w:r w:rsidR="00DA7D80" w:rsidRPr="00781E34">
        <w:rPr>
          <w:rFonts w:ascii="Times" w:hAnsi="Times"/>
          <w:szCs w:val="22"/>
        </w:rPr>
        <w:t xml:space="preserve"> le</w:t>
      </w:r>
      <w:r w:rsidR="009E638E" w:rsidRPr="00781E34">
        <w:rPr>
          <w:rFonts w:ascii="Times" w:hAnsi="Times"/>
          <w:szCs w:val="22"/>
        </w:rPr>
        <w:t>ading us to believe the show may have been</w:t>
      </w:r>
      <w:r w:rsidR="00DA7D80" w:rsidRPr="00781E34">
        <w:rPr>
          <w:rFonts w:ascii="Times" w:hAnsi="Times"/>
          <w:szCs w:val="22"/>
        </w:rPr>
        <w:t xml:space="preserve"> </w:t>
      </w:r>
      <w:r w:rsidR="0027745F">
        <w:rPr>
          <w:rFonts w:ascii="Times" w:hAnsi="Times"/>
          <w:szCs w:val="22"/>
        </w:rPr>
        <w:t xml:space="preserve">partly or wholly </w:t>
      </w:r>
      <w:r w:rsidR="00DA7D80" w:rsidRPr="00781E34">
        <w:rPr>
          <w:rFonts w:ascii="Times" w:hAnsi="Times"/>
          <w:szCs w:val="22"/>
        </w:rPr>
        <w:t>subsidized by</w:t>
      </w:r>
      <w:r w:rsidR="0027745F">
        <w:rPr>
          <w:rFonts w:ascii="Times" w:hAnsi="Times"/>
          <w:szCs w:val="22"/>
        </w:rPr>
        <w:t xml:space="preserve"> this EIDL loan</w:t>
      </w:r>
      <w:r w:rsidR="00DA7D80" w:rsidRPr="00781E34">
        <w:rPr>
          <w:rFonts w:ascii="Times" w:hAnsi="Times"/>
          <w:szCs w:val="22"/>
        </w:rPr>
        <w:t>.</w:t>
      </w:r>
      <w:r w:rsidR="00D0143D">
        <w:rPr>
          <w:rFonts w:ascii="Times" w:hAnsi="Times"/>
          <w:szCs w:val="22"/>
        </w:rPr>
        <w:t xml:space="preserve"> </w:t>
      </w:r>
    </w:p>
    <w:p w14:paraId="1AFE7F5F" w14:textId="77777777" w:rsidR="00DA7D80" w:rsidRPr="00781E34" w:rsidRDefault="00DA7D80" w:rsidP="000D5611">
      <w:pPr>
        <w:pStyle w:val="Default"/>
        <w:rPr>
          <w:rFonts w:ascii="Times" w:hAnsi="Times"/>
          <w:szCs w:val="22"/>
        </w:rPr>
      </w:pPr>
    </w:p>
    <w:p w14:paraId="30692B31" w14:textId="7404E57C" w:rsidR="0068743E" w:rsidRDefault="00D74BB3" w:rsidP="000D5611">
      <w:pPr>
        <w:pStyle w:val="Default"/>
        <w:rPr>
          <w:rFonts w:ascii="Times" w:hAnsi="Times"/>
          <w:szCs w:val="22"/>
        </w:rPr>
      </w:pPr>
      <w:r>
        <w:rPr>
          <w:rFonts w:ascii="Times" w:hAnsi="Times"/>
          <w:szCs w:val="22"/>
        </w:rPr>
        <w:tab/>
      </w:r>
      <w:r w:rsidR="00DA7D80" w:rsidRPr="00781E34">
        <w:rPr>
          <w:rFonts w:ascii="Times" w:hAnsi="Times"/>
          <w:szCs w:val="22"/>
        </w:rPr>
        <w:t>Hunter Biden has a history of benefitting from federal govern</w:t>
      </w:r>
      <w:r w:rsidR="00405349">
        <w:rPr>
          <w:rFonts w:ascii="Times" w:hAnsi="Times"/>
          <w:szCs w:val="22"/>
        </w:rPr>
        <w:t>ment bailo</w:t>
      </w:r>
      <w:r w:rsidR="007F7BD5">
        <w:rPr>
          <w:rFonts w:ascii="Times" w:hAnsi="Times"/>
          <w:szCs w:val="22"/>
        </w:rPr>
        <w:t xml:space="preserve">ut programs, including </w:t>
      </w:r>
      <w:r w:rsidR="000F3E00">
        <w:rPr>
          <w:rFonts w:ascii="Times" w:hAnsi="Times"/>
          <w:szCs w:val="22"/>
        </w:rPr>
        <w:t>the Term Asset-Backed Securities Loan Facility (TALF)</w:t>
      </w:r>
      <w:r w:rsidR="00AE1806">
        <w:rPr>
          <w:rStyle w:val="FootnoteReference"/>
          <w:rFonts w:ascii="Times" w:hAnsi="Times"/>
          <w:szCs w:val="22"/>
        </w:rPr>
        <w:footnoteReference w:id="19"/>
      </w:r>
      <w:r w:rsidR="000F3E00">
        <w:rPr>
          <w:rFonts w:ascii="Times" w:hAnsi="Times"/>
          <w:szCs w:val="22"/>
        </w:rPr>
        <w:t xml:space="preserve">. </w:t>
      </w:r>
      <w:r w:rsidR="007F7BD5">
        <w:rPr>
          <w:rFonts w:ascii="Times" w:hAnsi="Times"/>
          <w:szCs w:val="22"/>
        </w:rPr>
        <w:t>A</w:t>
      </w:r>
      <w:r w:rsidR="007337D3">
        <w:rPr>
          <w:rFonts w:ascii="Times" w:hAnsi="Times"/>
          <w:szCs w:val="22"/>
        </w:rPr>
        <w:t xml:space="preserve"> firm connected</w:t>
      </w:r>
      <w:r w:rsidR="009F2662" w:rsidRPr="00781E34">
        <w:rPr>
          <w:rFonts w:ascii="Times" w:hAnsi="Times"/>
          <w:szCs w:val="22"/>
        </w:rPr>
        <w:t xml:space="preserve"> to Hunter Biden was approved for hundreds of millions in TALF loans.</w:t>
      </w:r>
      <w:r w:rsidR="00D0143D">
        <w:rPr>
          <w:rFonts w:ascii="Times" w:hAnsi="Times"/>
          <w:szCs w:val="22"/>
        </w:rPr>
        <w:t xml:space="preserve"> </w:t>
      </w:r>
      <w:r w:rsidR="009F2662" w:rsidRPr="00781E34">
        <w:rPr>
          <w:rFonts w:ascii="Times" w:hAnsi="Times"/>
          <w:szCs w:val="22"/>
        </w:rPr>
        <w:t xml:space="preserve">TALF was a program </w:t>
      </w:r>
      <w:r w:rsidR="007337D3">
        <w:rPr>
          <w:rFonts w:ascii="Times" w:hAnsi="Times"/>
          <w:szCs w:val="22"/>
        </w:rPr>
        <w:t xml:space="preserve">also </w:t>
      </w:r>
      <w:r w:rsidR="009F2662" w:rsidRPr="00781E34">
        <w:rPr>
          <w:rFonts w:ascii="Times" w:hAnsi="Times"/>
          <w:szCs w:val="22"/>
        </w:rPr>
        <w:t>rife with</w:t>
      </w:r>
      <w:r w:rsidR="0002299D">
        <w:rPr>
          <w:rFonts w:ascii="Times" w:hAnsi="Times"/>
          <w:szCs w:val="22"/>
        </w:rPr>
        <w:t xml:space="preserve"> waste, fraud, and abuse</w:t>
      </w:r>
      <w:r w:rsidR="006B1BE9">
        <w:rPr>
          <w:rStyle w:val="FootnoteReference"/>
          <w:rFonts w:ascii="Times" w:hAnsi="Times"/>
          <w:szCs w:val="22"/>
        </w:rPr>
        <w:footnoteReference w:id="20"/>
      </w:r>
      <w:r w:rsidR="009F2662" w:rsidRPr="00781E34">
        <w:rPr>
          <w:rFonts w:ascii="Times" w:hAnsi="Times"/>
          <w:szCs w:val="22"/>
        </w:rPr>
        <w:t>.</w:t>
      </w:r>
      <w:r w:rsidR="00D0143D">
        <w:rPr>
          <w:rFonts w:ascii="Times" w:hAnsi="Times"/>
          <w:szCs w:val="22"/>
        </w:rPr>
        <w:t xml:space="preserve"> </w:t>
      </w:r>
      <w:r w:rsidR="009F2662" w:rsidRPr="00781E34">
        <w:rPr>
          <w:rFonts w:ascii="Times" w:hAnsi="Times"/>
          <w:szCs w:val="22"/>
        </w:rPr>
        <w:t>It is our contention that the EIDL loan is another example of Hunter’s ability to access emergency federal loans.</w:t>
      </w:r>
      <w:r w:rsidR="00D0143D">
        <w:rPr>
          <w:rFonts w:ascii="Times" w:hAnsi="Times"/>
          <w:szCs w:val="22"/>
        </w:rPr>
        <w:t xml:space="preserve"> </w:t>
      </w:r>
      <w:r w:rsidR="009F2662" w:rsidRPr="00781E34">
        <w:rPr>
          <w:rFonts w:ascii="Times" w:hAnsi="Times"/>
          <w:szCs w:val="22"/>
        </w:rPr>
        <w:t>Though Hunter Biden is not directly receivin</w:t>
      </w:r>
      <w:r w:rsidR="00181B6C">
        <w:rPr>
          <w:rFonts w:ascii="Times" w:hAnsi="Times"/>
          <w:szCs w:val="22"/>
        </w:rPr>
        <w:t xml:space="preserve">g the SBA money, the </w:t>
      </w:r>
      <w:r w:rsidR="00C343BB">
        <w:rPr>
          <w:rFonts w:ascii="Times" w:hAnsi="Times"/>
          <w:szCs w:val="22"/>
        </w:rPr>
        <w:t xml:space="preserve">broker for his art appears to have been kept afloat </w:t>
      </w:r>
      <w:r w:rsidR="00BC6D51">
        <w:rPr>
          <w:rFonts w:ascii="Times" w:hAnsi="Times"/>
          <w:szCs w:val="22"/>
        </w:rPr>
        <w:t xml:space="preserve">just in time to market his art. </w:t>
      </w:r>
    </w:p>
    <w:p w14:paraId="4DAABBCF" w14:textId="77777777" w:rsidR="0068743E" w:rsidRDefault="0068743E" w:rsidP="000D5611">
      <w:pPr>
        <w:pStyle w:val="Default"/>
        <w:rPr>
          <w:rFonts w:ascii="Times" w:hAnsi="Times"/>
          <w:szCs w:val="22"/>
        </w:rPr>
      </w:pPr>
    </w:p>
    <w:p w14:paraId="29F3D934" w14:textId="77777777" w:rsidR="00E40DDE" w:rsidRPr="0068743E" w:rsidRDefault="0068743E" w:rsidP="0068743E">
      <w:pPr>
        <w:pStyle w:val="Default"/>
        <w:jc w:val="center"/>
        <w:rPr>
          <w:rFonts w:ascii="Times" w:hAnsi="Times"/>
          <w:b/>
          <w:szCs w:val="22"/>
        </w:rPr>
      </w:pPr>
      <w:r w:rsidRPr="0068743E">
        <w:rPr>
          <w:rFonts w:ascii="Times" w:hAnsi="Times"/>
          <w:b/>
          <w:szCs w:val="22"/>
        </w:rPr>
        <w:t>CONCLUSION</w:t>
      </w:r>
    </w:p>
    <w:p w14:paraId="0AE0740A" w14:textId="77777777" w:rsidR="009F2662" w:rsidRPr="00781E34" w:rsidRDefault="009F2662" w:rsidP="000D5611">
      <w:pPr>
        <w:pStyle w:val="Default"/>
        <w:rPr>
          <w:rFonts w:ascii="Times" w:hAnsi="Times"/>
          <w:szCs w:val="22"/>
        </w:rPr>
      </w:pPr>
    </w:p>
    <w:p w14:paraId="5FD0566F" w14:textId="77777777" w:rsidR="0084593F" w:rsidRDefault="0068743E" w:rsidP="000D5611">
      <w:pPr>
        <w:pStyle w:val="Default"/>
        <w:rPr>
          <w:rFonts w:ascii="Times" w:hAnsi="Times"/>
          <w:szCs w:val="22"/>
        </w:rPr>
      </w:pPr>
      <w:r>
        <w:rPr>
          <w:rFonts w:ascii="Times" w:hAnsi="Times"/>
          <w:szCs w:val="22"/>
        </w:rPr>
        <w:tab/>
      </w:r>
      <w:r w:rsidR="009F2662" w:rsidRPr="00781E34">
        <w:rPr>
          <w:rFonts w:ascii="Times" w:hAnsi="Times"/>
          <w:szCs w:val="22"/>
        </w:rPr>
        <w:t>The</w:t>
      </w:r>
      <w:r>
        <w:rPr>
          <w:rFonts w:ascii="Times" w:hAnsi="Times"/>
          <w:szCs w:val="22"/>
        </w:rPr>
        <w:t xml:space="preserve"> SBA’s documented problems in administering</w:t>
      </w:r>
      <w:r w:rsidR="009F2662" w:rsidRPr="00781E34">
        <w:rPr>
          <w:rFonts w:ascii="Times" w:hAnsi="Times"/>
          <w:szCs w:val="22"/>
        </w:rPr>
        <w:t xml:space="preserve"> the EIDL program, coupled with </w:t>
      </w:r>
      <w:r w:rsidR="00F638A3">
        <w:rPr>
          <w:rFonts w:ascii="Times" w:hAnsi="Times"/>
          <w:szCs w:val="22"/>
        </w:rPr>
        <w:t xml:space="preserve">the actions of </w:t>
      </w:r>
      <w:r w:rsidR="009F2662" w:rsidRPr="00781E34">
        <w:rPr>
          <w:rFonts w:ascii="Times" w:hAnsi="Times"/>
          <w:szCs w:val="22"/>
        </w:rPr>
        <w:t xml:space="preserve">individuals who have a documented past of being accused of </w:t>
      </w:r>
      <w:r w:rsidR="0084593F">
        <w:rPr>
          <w:rFonts w:ascii="Times" w:hAnsi="Times"/>
          <w:szCs w:val="22"/>
        </w:rPr>
        <w:t xml:space="preserve">alleged </w:t>
      </w:r>
      <w:r w:rsidR="009F2662" w:rsidRPr="00781E34">
        <w:rPr>
          <w:rFonts w:ascii="Times" w:hAnsi="Times"/>
          <w:szCs w:val="22"/>
        </w:rPr>
        <w:t>fraud and taking advantage of previous disaster relief programs</w:t>
      </w:r>
      <w:r w:rsidR="0084593F">
        <w:rPr>
          <w:rFonts w:ascii="Times" w:hAnsi="Times"/>
          <w:szCs w:val="22"/>
        </w:rPr>
        <w:t>,</w:t>
      </w:r>
      <w:r w:rsidR="009F2662" w:rsidRPr="00781E34">
        <w:rPr>
          <w:rFonts w:ascii="Times" w:hAnsi="Times"/>
          <w:szCs w:val="22"/>
        </w:rPr>
        <w:t xml:space="preserve"> makes it imperative </w:t>
      </w:r>
      <w:r w:rsidR="0021432A">
        <w:rPr>
          <w:rFonts w:ascii="Times" w:hAnsi="Times"/>
          <w:szCs w:val="22"/>
        </w:rPr>
        <w:t>that this loan be</w:t>
      </w:r>
      <w:r w:rsidR="009F2662" w:rsidRPr="00781E34">
        <w:rPr>
          <w:rFonts w:ascii="Times" w:hAnsi="Times"/>
          <w:szCs w:val="22"/>
        </w:rPr>
        <w:t xml:space="preserve"> reviewed.</w:t>
      </w:r>
      <w:r w:rsidR="00D0143D">
        <w:rPr>
          <w:rFonts w:ascii="Times" w:hAnsi="Times"/>
          <w:szCs w:val="22"/>
        </w:rPr>
        <w:t xml:space="preserve"> </w:t>
      </w:r>
    </w:p>
    <w:p w14:paraId="5690C002" w14:textId="77777777" w:rsidR="0084593F" w:rsidRDefault="0084593F" w:rsidP="000D5611">
      <w:pPr>
        <w:pStyle w:val="Default"/>
        <w:rPr>
          <w:rFonts w:ascii="Times" w:hAnsi="Times"/>
          <w:szCs w:val="22"/>
        </w:rPr>
      </w:pPr>
    </w:p>
    <w:p w14:paraId="0A22E4D9" w14:textId="77777777" w:rsidR="0001468C" w:rsidRDefault="0084593F" w:rsidP="000D5611">
      <w:pPr>
        <w:pStyle w:val="Default"/>
        <w:rPr>
          <w:rFonts w:ascii="Times" w:hAnsi="Times"/>
          <w:szCs w:val="22"/>
        </w:rPr>
      </w:pPr>
      <w:r>
        <w:rPr>
          <w:rFonts w:ascii="Times" w:hAnsi="Times"/>
          <w:szCs w:val="22"/>
        </w:rPr>
        <w:tab/>
        <w:t xml:space="preserve">Moreover, given the </w:t>
      </w:r>
      <w:r w:rsidR="00125AF0">
        <w:rPr>
          <w:rFonts w:ascii="Times" w:hAnsi="Times"/>
          <w:szCs w:val="22"/>
        </w:rPr>
        <w:t>prominence</w:t>
      </w:r>
      <w:r w:rsidR="007A18B8">
        <w:rPr>
          <w:rFonts w:ascii="Times" w:hAnsi="Times"/>
          <w:szCs w:val="22"/>
        </w:rPr>
        <w:t xml:space="preserve"> of these individuals — </w:t>
      </w:r>
      <w:r w:rsidR="00125AF0">
        <w:rPr>
          <w:rFonts w:ascii="Times" w:hAnsi="Times"/>
          <w:szCs w:val="22"/>
        </w:rPr>
        <w:t>the son of the sitting president</w:t>
      </w:r>
      <w:r w:rsidR="007A18B8">
        <w:rPr>
          <w:rFonts w:ascii="Times" w:hAnsi="Times"/>
          <w:szCs w:val="22"/>
        </w:rPr>
        <w:t xml:space="preserve"> and his broker — the Inspector General must take the necessary steps to ensure an independent, </w:t>
      </w:r>
      <w:r w:rsidR="0001468C">
        <w:rPr>
          <w:rFonts w:ascii="Times" w:hAnsi="Times"/>
          <w:szCs w:val="22"/>
        </w:rPr>
        <w:t>timely and complete investiga</w:t>
      </w:r>
      <w:r w:rsidR="00035256">
        <w:rPr>
          <w:rFonts w:ascii="Times" w:hAnsi="Times"/>
          <w:szCs w:val="22"/>
        </w:rPr>
        <w:t>tion</w:t>
      </w:r>
      <w:r w:rsidR="00856085">
        <w:rPr>
          <w:rFonts w:ascii="Times" w:hAnsi="Times"/>
          <w:szCs w:val="22"/>
        </w:rPr>
        <w:t xml:space="preserve"> free of political influence or interference.</w:t>
      </w:r>
    </w:p>
    <w:p w14:paraId="77B1FD52" w14:textId="77777777" w:rsidR="0001468C" w:rsidRDefault="0001468C" w:rsidP="000D5611">
      <w:pPr>
        <w:pStyle w:val="Default"/>
        <w:rPr>
          <w:rFonts w:ascii="Times" w:hAnsi="Times"/>
          <w:szCs w:val="22"/>
        </w:rPr>
      </w:pPr>
    </w:p>
    <w:p w14:paraId="02501E3E" w14:textId="77777777" w:rsidR="0001468C" w:rsidRDefault="0001468C" w:rsidP="000D5611">
      <w:pPr>
        <w:pStyle w:val="Default"/>
        <w:rPr>
          <w:rFonts w:ascii="Times" w:hAnsi="Times"/>
          <w:szCs w:val="22"/>
        </w:rPr>
      </w:pPr>
      <w:r>
        <w:rPr>
          <w:rFonts w:ascii="Times" w:hAnsi="Times"/>
          <w:szCs w:val="22"/>
        </w:rPr>
        <w:tab/>
      </w:r>
      <w:r>
        <w:rPr>
          <w:rFonts w:ascii="Times" w:hAnsi="Times"/>
          <w:szCs w:val="22"/>
        </w:rPr>
        <w:tab/>
      </w:r>
      <w:r>
        <w:rPr>
          <w:rFonts w:ascii="Times" w:hAnsi="Times"/>
          <w:szCs w:val="22"/>
        </w:rPr>
        <w:tab/>
      </w:r>
      <w:r>
        <w:rPr>
          <w:rFonts w:ascii="Times" w:hAnsi="Times"/>
          <w:szCs w:val="22"/>
        </w:rPr>
        <w:tab/>
      </w:r>
      <w:r>
        <w:rPr>
          <w:rFonts w:ascii="Times" w:hAnsi="Times"/>
          <w:szCs w:val="22"/>
        </w:rPr>
        <w:tab/>
      </w:r>
      <w:r>
        <w:rPr>
          <w:rFonts w:ascii="Times" w:hAnsi="Times"/>
          <w:szCs w:val="22"/>
        </w:rPr>
        <w:tab/>
        <w:t>Sincerely,</w:t>
      </w:r>
    </w:p>
    <w:p w14:paraId="56A4CFEB" w14:textId="77777777" w:rsidR="0001468C" w:rsidRDefault="0001468C" w:rsidP="000D5611">
      <w:pPr>
        <w:pStyle w:val="Default"/>
        <w:rPr>
          <w:rFonts w:ascii="Times" w:hAnsi="Times"/>
          <w:szCs w:val="22"/>
        </w:rPr>
      </w:pPr>
    </w:p>
    <w:p w14:paraId="0BC94856" w14:textId="77777777" w:rsidR="0001468C" w:rsidRDefault="0001468C" w:rsidP="000D5611">
      <w:pPr>
        <w:pStyle w:val="Default"/>
        <w:rPr>
          <w:rFonts w:ascii="Times" w:hAnsi="Times"/>
          <w:szCs w:val="22"/>
        </w:rPr>
      </w:pPr>
    </w:p>
    <w:p w14:paraId="43E8CD2E" w14:textId="77777777" w:rsidR="0001468C" w:rsidRDefault="0001468C" w:rsidP="000D5611">
      <w:pPr>
        <w:pStyle w:val="Default"/>
        <w:rPr>
          <w:rFonts w:ascii="Times" w:hAnsi="Times"/>
          <w:szCs w:val="22"/>
        </w:rPr>
      </w:pPr>
    </w:p>
    <w:p w14:paraId="5514318E" w14:textId="77777777" w:rsidR="0001468C" w:rsidRDefault="0001468C" w:rsidP="000D5611">
      <w:pPr>
        <w:pStyle w:val="Default"/>
        <w:rPr>
          <w:rFonts w:ascii="Times" w:hAnsi="Times"/>
          <w:szCs w:val="22"/>
        </w:rPr>
      </w:pPr>
      <w:r>
        <w:rPr>
          <w:rFonts w:ascii="Times" w:hAnsi="Times"/>
          <w:szCs w:val="22"/>
        </w:rPr>
        <w:tab/>
      </w:r>
      <w:r>
        <w:rPr>
          <w:rFonts w:ascii="Times" w:hAnsi="Times"/>
          <w:szCs w:val="22"/>
        </w:rPr>
        <w:tab/>
      </w:r>
      <w:r>
        <w:rPr>
          <w:rFonts w:ascii="Times" w:hAnsi="Times"/>
          <w:szCs w:val="22"/>
        </w:rPr>
        <w:tab/>
      </w:r>
      <w:r>
        <w:rPr>
          <w:rFonts w:ascii="Times" w:hAnsi="Times"/>
          <w:szCs w:val="22"/>
        </w:rPr>
        <w:tab/>
      </w:r>
      <w:r>
        <w:rPr>
          <w:rFonts w:ascii="Times" w:hAnsi="Times"/>
          <w:szCs w:val="22"/>
        </w:rPr>
        <w:tab/>
      </w:r>
      <w:r>
        <w:rPr>
          <w:rFonts w:ascii="Times" w:hAnsi="Times"/>
          <w:szCs w:val="22"/>
        </w:rPr>
        <w:tab/>
        <w:t>Thomas Anderson</w:t>
      </w:r>
      <w:r>
        <w:rPr>
          <w:rFonts w:ascii="Times" w:hAnsi="Times"/>
          <w:szCs w:val="22"/>
        </w:rPr>
        <w:tab/>
      </w:r>
    </w:p>
    <w:p w14:paraId="02BDF83F" w14:textId="77777777" w:rsidR="009F2662" w:rsidRPr="00781E34" w:rsidRDefault="0001468C" w:rsidP="000D5611">
      <w:pPr>
        <w:pStyle w:val="Default"/>
        <w:rPr>
          <w:rFonts w:ascii="Times" w:hAnsi="Times"/>
        </w:rPr>
      </w:pPr>
      <w:r>
        <w:rPr>
          <w:rFonts w:ascii="Times" w:hAnsi="Times"/>
          <w:szCs w:val="22"/>
        </w:rPr>
        <w:tab/>
      </w:r>
      <w:r>
        <w:rPr>
          <w:rFonts w:ascii="Times" w:hAnsi="Times"/>
          <w:szCs w:val="22"/>
        </w:rPr>
        <w:tab/>
      </w:r>
      <w:r>
        <w:rPr>
          <w:rFonts w:ascii="Times" w:hAnsi="Times"/>
          <w:szCs w:val="22"/>
        </w:rPr>
        <w:tab/>
      </w:r>
      <w:r>
        <w:rPr>
          <w:rFonts w:ascii="Times" w:hAnsi="Times"/>
          <w:szCs w:val="22"/>
        </w:rPr>
        <w:tab/>
      </w:r>
      <w:r>
        <w:rPr>
          <w:rFonts w:ascii="Times" w:hAnsi="Times"/>
          <w:szCs w:val="22"/>
        </w:rPr>
        <w:tab/>
      </w:r>
      <w:r>
        <w:rPr>
          <w:rFonts w:ascii="Times" w:hAnsi="Times"/>
          <w:szCs w:val="22"/>
        </w:rPr>
        <w:tab/>
        <w:t>Director, Government Integrity Project</w:t>
      </w:r>
    </w:p>
    <w:sectPr w:rsidR="009F2662" w:rsidRPr="00781E34" w:rsidSect="00F57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2F1B" w14:textId="77777777" w:rsidR="00B930AF" w:rsidRDefault="00B930AF" w:rsidP="00CB7540">
      <w:r>
        <w:separator/>
      </w:r>
    </w:p>
  </w:endnote>
  <w:endnote w:type="continuationSeparator" w:id="0">
    <w:p w14:paraId="26FB1487" w14:textId="77777777" w:rsidR="00B930AF" w:rsidRDefault="00B930AF" w:rsidP="00CB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CC"/>
    <w:family w:val="swiss"/>
    <w:pitch w:val="variable"/>
    <w:sig w:usb0="E0007AFF" w:usb1="C0007843"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FC22" w14:textId="77777777" w:rsidR="00B930AF" w:rsidRDefault="00B930AF" w:rsidP="00CB7540">
      <w:r>
        <w:separator/>
      </w:r>
    </w:p>
  </w:footnote>
  <w:footnote w:type="continuationSeparator" w:id="0">
    <w:p w14:paraId="38AFEB86" w14:textId="77777777" w:rsidR="00B930AF" w:rsidRDefault="00B930AF" w:rsidP="00CB7540">
      <w:r>
        <w:continuationSeparator/>
      </w:r>
    </w:p>
  </w:footnote>
  <w:footnote w:id="1">
    <w:p w14:paraId="7CD629A1" w14:textId="601D0128" w:rsidR="00CB7540" w:rsidRDefault="00CB7540">
      <w:pPr>
        <w:pStyle w:val="FootnoteText"/>
      </w:pPr>
      <w:r>
        <w:rPr>
          <w:rStyle w:val="FootnoteReference"/>
        </w:rPr>
        <w:footnoteRef/>
      </w:r>
      <w:r>
        <w:t xml:space="preserve"> United States Government Accountability Office, Economic Injury Disaster Loan Program:  Additional Actions Needed to Improve Communication with Applicants and Address Fraud Risks, July 2021</w:t>
      </w:r>
    </w:p>
  </w:footnote>
  <w:footnote w:id="2">
    <w:p w14:paraId="5597AC82" w14:textId="2013BD10" w:rsidR="000420F3" w:rsidRDefault="000420F3">
      <w:pPr>
        <w:pStyle w:val="FootnoteText"/>
      </w:pPr>
      <w:r>
        <w:rPr>
          <w:rStyle w:val="FootnoteReference"/>
        </w:rPr>
        <w:footnoteRef/>
      </w:r>
      <w:r>
        <w:t xml:space="preserve"> Small Business Administration, </w:t>
      </w:r>
      <w:r w:rsidRPr="000420F3">
        <w:t>ASST_NON_4636367807_7300</w:t>
      </w:r>
      <w:r>
        <w:t xml:space="preserve">, FAIN </w:t>
      </w:r>
      <w:r w:rsidRPr="000420F3">
        <w:t>4636367807</w:t>
      </w:r>
      <w:r>
        <w:t xml:space="preserve">, </w:t>
      </w:r>
      <w:hyperlink r:id="rId1" w:history="1">
        <w:r w:rsidRPr="001104FF">
          <w:rPr>
            <w:rStyle w:val="Hyperlink"/>
          </w:rPr>
          <w:t>https://www.usaspending.gov/award/ASST_NON_4636367807_7300</w:t>
        </w:r>
      </w:hyperlink>
      <w:r>
        <w:t>, July 26, 2021</w:t>
      </w:r>
    </w:p>
  </w:footnote>
  <w:footnote w:id="3">
    <w:p w14:paraId="7DE2160E" w14:textId="18056875" w:rsidR="00F07D0B" w:rsidRDefault="00F07D0B">
      <w:pPr>
        <w:pStyle w:val="FootnoteText"/>
      </w:pPr>
      <w:r>
        <w:rPr>
          <w:rStyle w:val="FootnoteReference"/>
        </w:rPr>
        <w:footnoteRef/>
      </w:r>
      <w:r>
        <w:t xml:space="preserve"> USA Spending, NY-10 Congressional District, Covid-19 Data, </w:t>
      </w:r>
      <w:r w:rsidRPr="00F07D0B">
        <w:t>https://files.usaspending.gov/generated_downloads/PrimeAwardSummariesAndSubawards_2021-10-09_H22M08S49867821.zip</w:t>
      </w:r>
    </w:p>
  </w:footnote>
  <w:footnote w:id="4">
    <w:p w14:paraId="19F318F6" w14:textId="3DFDE0B0" w:rsidR="00F07D0B" w:rsidRDefault="00F07D0B">
      <w:pPr>
        <w:pStyle w:val="FootnoteText"/>
      </w:pPr>
      <w:r>
        <w:rPr>
          <w:rStyle w:val="FootnoteReference"/>
        </w:rPr>
        <w:footnoteRef/>
      </w:r>
      <w:r>
        <w:t xml:space="preserve"> “Hunter Biden Art Dealer Served jail Time and Allegedly Defrauded Investor”, Alana Goodman, Washington Free Beacon, August 26, 2021</w:t>
      </w:r>
    </w:p>
  </w:footnote>
  <w:footnote w:id="5">
    <w:p w14:paraId="67FB6730" w14:textId="67C8A031" w:rsidR="0029455D" w:rsidRDefault="0029455D">
      <w:pPr>
        <w:pStyle w:val="FootnoteText"/>
      </w:pPr>
      <w:r>
        <w:rPr>
          <w:rStyle w:val="FootnoteReference"/>
        </w:rPr>
        <w:footnoteRef/>
      </w:r>
      <w:r>
        <w:t xml:space="preserve"> Dun &amp; Bradstreet 2015 Business Report, Georges </w:t>
      </w:r>
      <w:proofErr w:type="spellStart"/>
      <w:r>
        <w:t>Berges</w:t>
      </w:r>
      <w:proofErr w:type="spellEnd"/>
      <w:r>
        <w:t xml:space="preserve"> Gallery LLC</w:t>
      </w:r>
    </w:p>
  </w:footnote>
  <w:footnote w:id="6">
    <w:p w14:paraId="2A21AA2A" w14:textId="74AF2D7C" w:rsidR="0029455D" w:rsidRDefault="0029455D">
      <w:pPr>
        <w:pStyle w:val="FootnoteText"/>
      </w:pPr>
      <w:r>
        <w:rPr>
          <w:rStyle w:val="FootnoteReference"/>
        </w:rPr>
        <w:footnoteRef/>
      </w:r>
      <w:r>
        <w:t xml:space="preserve"> Small Business Administration, COVID EIDL FAQ’s as of September 3, 2021, Page 11</w:t>
      </w:r>
    </w:p>
  </w:footnote>
  <w:footnote w:id="7">
    <w:p w14:paraId="6AD52C97" w14:textId="5075DDFC" w:rsidR="002251E9" w:rsidRDefault="002251E9">
      <w:pPr>
        <w:pStyle w:val="FootnoteText"/>
      </w:pPr>
      <w:r>
        <w:rPr>
          <w:rStyle w:val="FootnoteReference"/>
        </w:rPr>
        <w:footnoteRef/>
      </w:r>
      <w:r>
        <w:t xml:space="preserve"> United States District Court Southern District of New York, Ingrid V. </w:t>
      </w:r>
      <w:proofErr w:type="spellStart"/>
      <w:r>
        <w:t>Arnberg</w:t>
      </w:r>
      <w:proofErr w:type="spellEnd"/>
      <w:r>
        <w:t xml:space="preserve"> v Georges </w:t>
      </w:r>
      <w:proofErr w:type="spellStart"/>
      <w:r>
        <w:t>Berges</w:t>
      </w:r>
      <w:proofErr w:type="spellEnd"/>
      <w:r>
        <w:t xml:space="preserve">, and Georges </w:t>
      </w:r>
      <w:proofErr w:type="spellStart"/>
      <w:r>
        <w:t>Berges</w:t>
      </w:r>
      <w:proofErr w:type="spellEnd"/>
      <w:r>
        <w:t xml:space="preserve"> Galleries, LLC, Case 1:16-cv-08955-AJN-KHP</w:t>
      </w:r>
      <w:r w:rsidR="004A5DBF">
        <w:t>, 11/17/2016</w:t>
      </w:r>
    </w:p>
  </w:footnote>
  <w:footnote w:id="8">
    <w:p w14:paraId="1C448957" w14:textId="41DDA7D0" w:rsidR="000D5F29" w:rsidRDefault="000D5F29">
      <w:pPr>
        <w:pStyle w:val="FootnoteText"/>
      </w:pPr>
      <w:r>
        <w:rPr>
          <w:rStyle w:val="FootnoteReference"/>
        </w:rPr>
        <w:footnoteRef/>
      </w:r>
      <w:r>
        <w:t xml:space="preserve"> ACRIS Land Search, Georges </w:t>
      </w:r>
      <w:proofErr w:type="spellStart"/>
      <w:r>
        <w:t>Berges</w:t>
      </w:r>
      <w:proofErr w:type="spellEnd"/>
      <w:r>
        <w:t>, 10/09/2021</w:t>
      </w:r>
    </w:p>
  </w:footnote>
  <w:footnote w:id="9">
    <w:p w14:paraId="5CE73CF3" w14:textId="778D271D" w:rsidR="000D5F29" w:rsidRDefault="000D5F29">
      <w:pPr>
        <w:pStyle w:val="FootnoteText"/>
      </w:pPr>
      <w:r>
        <w:rPr>
          <w:rStyle w:val="FootnoteReference"/>
        </w:rPr>
        <w:footnoteRef/>
      </w:r>
      <w:r>
        <w:t xml:space="preserve"> </w:t>
      </w:r>
      <w:r w:rsidRPr="000D5F29">
        <w:t>United States Government Accountability Office, Economic Injury Disaster Loan Program:  Additional Actions Needed to Improve Communication with Applicants and Address Fraud Risks, July 2021</w:t>
      </w:r>
    </w:p>
  </w:footnote>
  <w:footnote w:id="10">
    <w:p w14:paraId="25393792" w14:textId="739A1C6B" w:rsidR="00AC7839" w:rsidRDefault="00AC7839">
      <w:pPr>
        <w:pStyle w:val="FootnoteText"/>
      </w:pPr>
      <w:r>
        <w:rPr>
          <w:rStyle w:val="FootnoteReference"/>
        </w:rPr>
        <w:footnoteRef/>
      </w:r>
      <w:r>
        <w:t xml:space="preserve"> </w:t>
      </w:r>
      <w:r w:rsidRPr="00AC7839">
        <w:t>United States Government Accountability Office, Economic Injury Disaster Loan Program:  Additional Actions Needed to Improve Communication with Applicants and Address Fraud Risks, July 2021</w:t>
      </w:r>
      <w:r>
        <w:t>, Page 21</w:t>
      </w:r>
    </w:p>
  </w:footnote>
  <w:footnote w:id="11">
    <w:p w14:paraId="383DFCC3" w14:textId="385F52CA" w:rsidR="003D2612" w:rsidRDefault="003D2612">
      <w:pPr>
        <w:pStyle w:val="FootnoteText"/>
      </w:pPr>
      <w:r>
        <w:rPr>
          <w:rStyle w:val="FootnoteReference"/>
        </w:rPr>
        <w:footnoteRef/>
      </w:r>
      <w:r>
        <w:t xml:space="preserve"> Small Business Administration, </w:t>
      </w:r>
      <w:r w:rsidRPr="003D2612">
        <w:t>ASST_NON_EIDLGT%3A3301125311_7300</w:t>
      </w:r>
      <w:r>
        <w:t xml:space="preserve">, </w:t>
      </w:r>
      <w:hyperlink r:id="rId2" w:history="1">
        <w:r w:rsidRPr="001104FF">
          <w:rPr>
            <w:rStyle w:val="Hyperlink"/>
          </w:rPr>
          <w:t>https://www.usaspending.gov/award/ASST_NON_EIDLGT%3A3301125311_7300</w:t>
        </w:r>
      </w:hyperlink>
      <w:r>
        <w:t xml:space="preserve"> </w:t>
      </w:r>
    </w:p>
  </w:footnote>
  <w:footnote w:id="12">
    <w:p w14:paraId="0EFFB4F8" w14:textId="707FF440" w:rsidR="00BD030C" w:rsidRDefault="00BD030C">
      <w:pPr>
        <w:pStyle w:val="FootnoteText"/>
      </w:pPr>
      <w:r>
        <w:rPr>
          <w:rStyle w:val="FootnoteReference"/>
        </w:rPr>
        <w:footnoteRef/>
      </w:r>
      <w:r>
        <w:t xml:space="preserve"> </w:t>
      </w:r>
      <w:r w:rsidRPr="00BD030C">
        <w:t>United States Government Accountability Office, Economic Injury Disaster Loan Program:  Additional Actions Needed to Improve Communication with Applicants and Address Fraud Risks, July 2021</w:t>
      </w:r>
      <w:r>
        <w:t>, Page 13</w:t>
      </w:r>
    </w:p>
  </w:footnote>
  <w:footnote w:id="13">
    <w:p w14:paraId="2B9A499B" w14:textId="76CE47A0" w:rsidR="0003694D" w:rsidRDefault="0003694D">
      <w:pPr>
        <w:pStyle w:val="FootnoteText"/>
      </w:pPr>
      <w:r>
        <w:rPr>
          <w:rStyle w:val="FootnoteReference"/>
        </w:rPr>
        <w:footnoteRef/>
      </w:r>
      <w:r>
        <w:t xml:space="preserve"> </w:t>
      </w:r>
      <w:r w:rsidRPr="0003694D">
        <w:t>Small Business Administration, COVID EIDL FAQ’s as of September 3, 2021, Page 11</w:t>
      </w:r>
    </w:p>
  </w:footnote>
  <w:footnote w:id="14">
    <w:p w14:paraId="2E0FDA98" w14:textId="60F93DB2" w:rsidR="009B1021" w:rsidRDefault="009B1021">
      <w:pPr>
        <w:pStyle w:val="FootnoteText"/>
      </w:pPr>
      <w:r>
        <w:rPr>
          <w:rStyle w:val="FootnoteReference"/>
        </w:rPr>
        <w:footnoteRef/>
      </w:r>
      <w:r>
        <w:t xml:space="preserve"> </w:t>
      </w:r>
      <w:r w:rsidRPr="009B1021">
        <w:t>“Hunter Biden Art Dealer Served jail Time and Allegedly Defrauded Investor”, Alana Goodman, Washington Free Beacon, August 26, 2021</w:t>
      </w:r>
    </w:p>
  </w:footnote>
  <w:footnote w:id="15">
    <w:p w14:paraId="2F6CA46B" w14:textId="1FC7019A" w:rsidR="009B1021" w:rsidRDefault="009B1021">
      <w:pPr>
        <w:pStyle w:val="FootnoteText"/>
      </w:pPr>
      <w:r>
        <w:rPr>
          <w:rStyle w:val="FootnoteReference"/>
        </w:rPr>
        <w:footnoteRef/>
      </w:r>
      <w:r>
        <w:t xml:space="preserve"> </w:t>
      </w:r>
      <w:r w:rsidRPr="009B1021">
        <w:t xml:space="preserve">United States District Court Southern District of New York, Ingrid V. </w:t>
      </w:r>
      <w:proofErr w:type="spellStart"/>
      <w:r w:rsidRPr="009B1021">
        <w:t>Arnberg</w:t>
      </w:r>
      <w:proofErr w:type="spellEnd"/>
      <w:r w:rsidRPr="009B1021">
        <w:t xml:space="preserve"> v Georges </w:t>
      </w:r>
      <w:proofErr w:type="spellStart"/>
      <w:r w:rsidRPr="009B1021">
        <w:t>Berges</w:t>
      </w:r>
      <w:proofErr w:type="spellEnd"/>
      <w:r w:rsidRPr="009B1021">
        <w:t xml:space="preserve">, and Georges </w:t>
      </w:r>
      <w:proofErr w:type="spellStart"/>
      <w:r w:rsidRPr="009B1021">
        <w:t>Berges</w:t>
      </w:r>
      <w:proofErr w:type="spellEnd"/>
      <w:r w:rsidRPr="009B1021">
        <w:t xml:space="preserve"> Galleries, LLC, Case 1:16-cv-08955-AJN-KHP</w:t>
      </w:r>
      <w:r>
        <w:t>, Stipulation of Settlement and Dismissal Order, September 18, 2018.</w:t>
      </w:r>
    </w:p>
  </w:footnote>
  <w:footnote w:id="16">
    <w:p w14:paraId="626AAFA1" w14:textId="6E314B15" w:rsidR="00222A4C" w:rsidRDefault="00222A4C">
      <w:pPr>
        <w:pStyle w:val="FootnoteText"/>
      </w:pPr>
      <w:r>
        <w:rPr>
          <w:rStyle w:val="FootnoteReference"/>
        </w:rPr>
        <w:footnoteRef/>
      </w:r>
      <w:r>
        <w:t xml:space="preserve"> </w:t>
      </w:r>
      <w:r w:rsidRPr="00222A4C">
        <w:t>Small Business Administration, COVID EIDL FAQ’s as of September 3, 2021</w:t>
      </w:r>
      <w:r>
        <w:t>, Page 4</w:t>
      </w:r>
    </w:p>
  </w:footnote>
  <w:footnote w:id="17">
    <w:p w14:paraId="46AF261D" w14:textId="7E81311A" w:rsidR="00222A4C" w:rsidRDefault="00222A4C">
      <w:pPr>
        <w:pStyle w:val="FootnoteText"/>
      </w:pPr>
      <w:r>
        <w:rPr>
          <w:rStyle w:val="FootnoteReference"/>
        </w:rPr>
        <w:footnoteRef/>
      </w:r>
      <w:r>
        <w:t xml:space="preserve"> </w:t>
      </w:r>
      <w:r w:rsidRPr="00222A4C">
        <w:t>Small Business Administration, COVID EIDL FAQ’s as of September 3, 2021, Page 4</w:t>
      </w:r>
    </w:p>
  </w:footnote>
  <w:footnote w:id="18">
    <w:p w14:paraId="3E59FA6F" w14:textId="380D46E4" w:rsidR="00EB2356" w:rsidRDefault="00EB2356">
      <w:pPr>
        <w:pStyle w:val="FootnoteText"/>
      </w:pPr>
      <w:r>
        <w:rPr>
          <w:rStyle w:val="FootnoteReference"/>
        </w:rPr>
        <w:footnoteRef/>
      </w:r>
      <w:r>
        <w:t xml:space="preserve"> ACRIS Land Record Search, NYC, October 9, 2021</w:t>
      </w:r>
    </w:p>
  </w:footnote>
  <w:footnote w:id="19">
    <w:p w14:paraId="552E1450" w14:textId="10412573" w:rsidR="00AE1806" w:rsidRDefault="00AE1806">
      <w:pPr>
        <w:pStyle w:val="FootnoteText"/>
      </w:pPr>
      <w:r>
        <w:rPr>
          <w:rStyle w:val="FootnoteReference"/>
        </w:rPr>
        <w:footnoteRef/>
      </w:r>
      <w:r>
        <w:t xml:space="preserve"> “</w:t>
      </w:r>
      <w:r w:rsidRPr="00AE1806">
        <w:t>Hunter Biden-linked company received $130M in special federal loans while Joe Biden was vice president</w:t>
      </w:r>
      <w:r>
        <w:t xml:space="preserve">”, Alana Goodman, Washington Free Beacon, November 12, 2019. </w:t>
      </w:r>
    </w:p>
  </w:footnote>
  <w:footnote w:id="20">
    <w:p w14:paraId="7AE4AB32" w14:textId="79B1B32E" w:rsidR="006B1BE9" w:rsidRDefault="006B1BE9">
      <w:pPr>
        <w:pStyle w:val="FootnoteText"/>
      </w:pPr>
      <w:r>
        <w:rPr>
          <w:rStyle w:val="FootnoteReference"/>
        </w:rPr>
        <w:footnoteRef/>
      </w:r>
      <w:r>
        <w:t xml:space="preserve"> “</w:t>
      </w:r>
      <w:r w:rsidRPr="006B1BE9">
        <w:t>Multiple Federal Agencies Form Term Asset-Backed Securities Loan Facility (TALF) Task Force to Deter, Detect, and Investigate any Instances of Fraud and Abuse</w:t>
      </w:r>
      <w:r>
        <w:t xml:space="preserve">”, </w:t>
      </w:r>
      <w:r>
        <w:t>FBI.GOV, March 11,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2485"/>
    <w:multiLevelType w:val="hybridMultilevel"/>
    <w:tmpl w:val="B07E7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71CAD"/>
    <w:multiLevelType w:val="hybridMultilevel"/>
    <w:tmpl w:val="7EF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613"/>
    <w:rsid w:val="0001468C"/>
    <w:rsid w:val="0002299D"/>
    <w:rsid w:val="00026DDC"/>
    <w:rsid w:val="00035256"/>
    <w:rsid w:val="0003694D"/>
    <w:rsid w:val="000420F3"/>
    <w:rsid w:val="0004715D"/>
    <w:rsid w:val="000D5611"/>
    <w:rsid w:val="000D5F29"/>
    <w:rsid w:val="000F3E00"/>
    <w:rsid w:val="00125AF0"/>
    <w:rsid w:val="00152859"/>
    <w:rsid w:val="00164027"/>
    <w:rsid w:val="00181B6C"/>
    <w:rsid w:val="00184564"/>
    <w:rsid w:val="0021432A"/>
    <w:rsid w:val="00220BA7"/>
    <w:rsid w:val="00222A4C"/>
    <w:rsid w:val="002251E9"/>
    <w:rsid w:val="002270B5"/>
    <w:rsid w:val="00243122"/>
    <w:rsid w:val="00255DA4"/>
    <w:rsid w:val="00267CC9"/>
    <w:rsid w:val="0027745F"/>
    <w:rsid w:val="0029455D"/>
    <w:rsid w:val="00295C91"/>
    <w:rsid w:val="002A3EC2"/>
    <w:rsid w:val="002E2066"/>
    <w:rsid w:val="002F28A5"/>
    <w:rsid w:val="00306150"/>
    <w:rsid w:val="00350B63"/>
    <w:rsid w:val="003827DB"/>
    <w:rsid w:val="003B3968"/>
    <w:rsid w:val="003D2612"/>
    <w:rsid w:val="003E4A3C"/>
    <w:rsid w:val="003F0890"/>
    <w:rsid w:val="00400C93"/>
    <w:rsid w:val="00405349"/>
    <w:rsid w:val="0043043E"/>
    <w:rsid w:val="00436175"/>
    <w:rsid w:val="0045334D"/>
    <w:rsid w:val="0045435C"/>
    <w:rsid w:val="0046206C"/>
    <w:rsid w:val="004A5DBF"/>
    <w:rsid w:val="004C09CA"/>
    <w:rsid w:val="004C67A9"/>
    <w:rsid w:val="004D3CC6"/>
    <w:rsid w:val="005F129D"/>
    <w:rsid w:val="006365D6"/>
    <w:rsid w:val="00680922"/>
    <w:rsid w:val="0068743E"/>
    <w:rsid w:val="006B1BE9"/>
    <w:rsid w:val="006B6086"/>
    <w:rsid w:val="006B77CC"/>
    <w:rsid w:val="007337D3"/>
    <w:rsid w:val="00734558"/>
    <w:rsid w:val="00781E34"/>
    <w:rsid w:val="007A18B8"/>
    <w:rsid w:val="007A3613"/>
    <w:rsid w:val="007F7BD5"/>
    <w:rsid w:val="008403A2"/>
    <w:rsid w:val="00843920"/>
    <w:rsid w:val="0084593F"/>
    <w:rsid w:val="00856085"/>
    <w:rsid w:val="008865D3"/>
    <w:rsid w:val="008948A0"/>
    <w:rsid w:val="008E0DED"/>
    <w:rsid w:val="008E7472"/>
    <w:rsid w:val="009903E9"/>
    <w:rsid w:val="009B1021"/>
    <w:rsid w:val="009B4BB1"/>
    <w:rsid w:val="009B7D07"/>
    <w:rsid w:val="009D7BE2"/>
    <w:rsid w:val="009E638E"/>
    <w:rsid w:val="009F2662"/>
    <w:rsid w:val="00A075EB"/>
    <w:rsid w:val="00A241E4"/>
    <w:rsid w:val="00A30AD7"/>
    <w:rsid w:val="00A32FF3"/>
    <w:rsid w:val="00AC72F2"/>
    <w:rsid w:val="00AC7839"/>
    <w:rsid w:val="00AE1806"/>
    <w:rsid w:val="00B016CC"/>
    <w:rsid w:val="00B02BA2"/>
    <w:rsid w:val="00B16C1C"/>
    <w:rsid w:val="00B722B4"/>
    <w:rsid w:val="00B930AF"/>
    <w:rsid w:val="00BC5471"/>
    <w:rsid w:val="00BC6D51"/>
    <w:rsid w:val="00BD030C"/>
    <w:rsid w:val="00C00E45"/>
    <w:rsid w:val="00C21237"/>
    <w:rsid w:val="00C21D54"/>
    <w:rsid w:val="00C2250B"/>
    <w:rsid w:val="00C343BB"/>
    <w:rsid w:val="00C44B1E"/>
    <w:rsid w:val="00C81A42"/>
    <w:rsid w:val="00CB5232"/>
    <w:rsid w:val="00CB7540"/>
    <w:rsid w:val="00CE18A0"/>
    <w:rsid w:val="00CF5512"/>
    <w:rsid w:val="00D0143D"/>
    <w:rsid w:val="00D74BB3"/>
    <w:rsid w:val="00D94400"/>
    <w:rsid w:val="00DA0DC2"/>
    <w:rsid w:val="00DA7D80"/>
    <w:rsid w:val="00DB534B"/>
    <w:rsid w:val="00E40DDE"/>
    <w:rsid w:val="00E66F44"/>
    <w:rsid w:val="00E7676B"/>
    <w:rsid w:val="00EB2356"/>
    <w:rsid w:val="00ED3FD6"/>
    <w:rsid w:val="00F059D9"/>
    <w:rsid w:val="00F07D0B"/>
    <w:rsid w:val="00F53673"/>
    <w:rsid w:val="00F570CB"/>
    <w:rsid w:val="00F638A3"/>
    <w:rsid w:val="00F6713C"/>
    <w:rsid w:val="00F81A96"/>
    <w:rsid w:val="00FB7C15"/>
    <w:rsid w:val="00FE3F36"/>
    <w:rsid w:val="00FF3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66923"/>
  <w15:docId w15:val="{492189C7-A7E0-864C-975C-342F56BD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232"/>
    <w:pPr>
      <w:ind w:left="720"/>
      <w:contextualSpacing/>
    </w:pPr>
  </w:style>
  <w:style w:type="paragraph" w:styleId="BodyText">
    <w:name w:val="Body Text"/>
    <w:basedOn w:val="Normal"/>
    <w:link w:val="BodyTextChar"/>
    <w:uiPriority w:val="1"/>
    <w:qFormat/>
    <w:rsid w:val="00CB5232"/>
    <w:pPr>
      <w:autoSpaceDE w:val="0"/>
      <w:autoSpaceDN w:val="0"/>
      <w:adjustRightInd w:val="0"/>
      <w:ind w:left="39"/>
    </w:pPr>
    <w:rPr>
      <w:rFonts w:ascii="Arial" w:hAnsi="Arial" w:cs="Arial"/>
      <w:sz w:val="22"/>
      <w:szCs w:val="22"/>
    </w:rPr>
  </w:style>
  <w:style w:type="character" w:customStyle="1" w:styleId="BodyTextChar">
    <w:name w:val="Body Text Char"/>
    <w:basedOn w:val="DefaultParagraphFont"/>
    <w:link w:val="BodyText"/>
    <w:uiPriority w:val="1"/>
    <w:rsid w:val="00CB5232"/>
    <w:rPr>
      <w:rFonts w:ascii="Arial" w:hAnsi="Arial" w:cs="Arial"/>
      <w:sz w:val="22"/>
      <w:szCs w:val="22"/>
    </w:rPr>
  </w:style>
  <w:style w:type="paragraph" w:customStyle="1" w:styleId="Default">
    <w:name w:val="Default"/>
    <w:rsid w:val="00DA0DC2"/>
    <w:pPr>
      <w:autoSpaceDE w:val="0"/>
      <w:autoSpaceDN w:val="0"/>
      <w:adjustRightInd w:val="0"/>
    </w:pPr>
    <w:rPr>
      <w:rFonts w:ascii="Source Sans Pro" w:hAnsi="Source Sans Pro" w:cs="Source Sans Pro"/>
      <w:color w:val="000000"/>
    </w:rPr>
  </w:style>
  <w:style w:type="paragraph" w:customStyle="1" w:styleId="CM13">
    <w:name w:val="CM13"/>
    <w:basedOn w:val="Default"/>
    <w:next w:val="Default"/>
    <w:uiPriority w:val="99"/>
    <w:rsid w:val="00DA0DC2"/>
    <w:rPr>
      <w:rFonts w:cstheme="minorBidi"/>
      <w:color w:val="auto"/>
    </w:rPr>
  </w:style>
  <w:style w:type="paragraph" w:styleId="FootnoteText">
    <w:name w:val="footnote text"/>
    <w:basedOn w:val="Normal"/>
    <w:link w:val="FootnoteTextChar"/>
    <w:uiPriority w:val="99"/>
    <w:semiHidden/>
    <w:unhideWhenUsed/>
    <w:rsid w:val="00CB7540"/>
    <w:rPr>
      <w:sz w:val="20"/>
      <w:szCs w:val="20"/>
    </w:rPr>
  </w:style>
  <w:style w:type="character" w:customStyle="1" w:styleId="FootnoteTextChar">
    <w:name w:val="Footnote Text Char"/>
    <w:basedOn w:val="DefaultParagraphFont"/>
    <w:link w:val="FootnoteText"/>
    <w:uiPriority w:val="99"/>
    <w:semiHidden/>
    <w:rsid w:val="00CB7540"/>
    <w:rPr>
      <w:sz w:val="20"/>
      <w:szCs w:val="20"/>
    </w:rPr>
  </w:style>
  <w:style w:type="character" w:styleId="FootnoteReference">
    <w:name w:val="footnote reference"/>
    <w:basedOn w:val="DefaultParagraphFont"/>
    <w:uiPriority w:val="99"/>
    <w:semiHidden/>
    <w:unhideWhenUsed/>
    <w:rsid w:val="00CB7540"/>
    <w:rPr>
      <w:vertAlign w:val="superscript"/>
    </w:rPr>
  </w:style>
  <w:style w:type="character" w:styleId="Hyperlink">
    <w:name w:val="Hyperlink"/>
    <w:basedOn w:val="DefaultParagraphFont"/>
    <w:uiPriority w:val="99"/>
    <w:unhideWhenUsed/>
    <w:rsid w:val="000420F3"/>
    <w:rPr>
      <w:color w:val="0563C1" w:themeColor="hyperlink"/>
      <w:u w:val="single"/>
    </w:rPr>
  </w:style>
  <w:style w:type="character" w:styleId="UnresolvedMention">
    <w:name w:val="Unresolved Mention"/>
    <w:basedOn w:val="DefaultParagraphFont"/>
    <w:uiPriority w:val="99"/>
    <w:semiHidden/>
    <w:unhideWhenUsed/>
    <w:rsid w:val="0004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1043">
      <w:bodyDiv w:val="1"/>
      <w:marLeft w:val="0"/>
      <w:marRight w:val="0"/>
      <w:marTop w:val="0"/>
      <w:marBottom w:val="0"/>
      <w:divBdr>
        <w:top w:val="none" w:sz="0" w:space="0" w:color="auto"/>
        <w:left w:val="none" w:sz="0" w:space="0" w:color="auto"/>
        <w:bottom w:val="none" w:sz="0" w:space="0" w:color="auto"/>
        <w:right w:val="none" w:sz="0" w:space="0" w:color="auto"/>
      </w:divBdr>
    </w:div>
    <w:div w:id="656568337">
      <w:bodyDiv w:val="1"/>
      <w:marLeft w:val="0"/>
      <w:marRight w:val="0"/>
      <w:marTop w:val="0"/>
      <w:marBottom w:val="0"/>
      <w:divBdr>
        <w:top w:val="none" w:sz="0" w:space="0" w:color="auto"/>
        <w:left w:val="none" w:sz="0" w:space="0" w:color="auto"/>
        <w:bottom w:val="none" w:sz="0" w:space="0" w:color="auto"/>
        <w:right w:val="none" w:sz="0" w:space="0" w:color="auto"/>
      </w:divBdr>
    </w:div>
    <w:div w:id="1216157546">
      <w:bodyDiv w:val="1"/>
      <w:marLeft w:val="0"/>
      <w:marRight w:val="0"/>
      <w:marTop w:val="0"/>
      <w:marBottom w:val="0"/>
      <w:divBdr>
        <w:top w:val="none" w:sz="0" w:space="0" w:color="auto"/>
        <w:left w:val="none" w:sz="0" w:space="0" w:color="auto"/>
        <w:bottom w:val="none" w:sz="0" w:space="0" w:color="auto"/>
        <w:right w:val="none" w:sz="0" w:space="0" w:color="auto"/>
      </w:divBdr>
    </w:div>
    <w:div w:id="1651908305">
      <w:bodyDiv w:val="1"/>
      <w:marLeft w:val="0"/>
      <w:marRight w:val="0"/>
      <w:marTop w:val="0"/>
      <w:marBottom w:val="0"/>
      <w:divBdr>
        <w:top w:val="none" w:sz="0" w:space="0" w:color="auto"/>
        <w:left w:val="none" w:sz="0" w:space="0" w:color="auto"/>
        <w:bottom w:val="none" w:sz="0" w:space="0" w:color="auto"/>
        <w:right w:val="none" w:sz="0" w:space="0" w:color="auto"/>
      </w:divBdr>
    </w:div>
    <w:div w:id="1807703562">
      <w:bodyDiv w:val="1"/>
      <w:marLeft w:val="0"/>
      <w:marRight w:val="0"/>
      <w:marTop w:val="0"/>
      <w:marBottom w:val="0"/>
      <w:divBdr>
        <w:top w:val="none" w:sz="0" w:space="0" w:color="auto"/>
        <w:left w:val="none" w:sz="0" w:space="0" w:color="auto"/>
        <w:bottom w:val="none" w:sz="0" w:space="0" w:color="auto"/>
        <w:right w:val="none" w:sz="0" w:space="0" w:color="auto"/>
      </w:divBdr>
    </w:div>
    <w:div w:id="20619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usaspending.gov/award/ASST_NON_EIDLGT%3A3301125311_7300" TargetMode="External"/><Relationship Id="rId1" Type="http://schemas.openxmlformats.org/officeDocument/2006/relationships/hyperlink" Target="https://www.usaspending.gov/award/ASST_NON_4636367807_7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5</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Anderson</dc:creator>
  <cp:keywords/>
  <dc:description/>
  <cp:lastModifiedBy>Tom Anderson</cp:lastModifiedBy>
  <cp:revision>63</cp:revision>
  <dcterms:created xsi:type="dcterms:W3CDTF">2021-10-07T13:17:00Z</dcterms:created>
  <dcterms:modified xsi:type="dcterms:W3CDTF">2021-10-09T23:20:00Z</dcterms:modified>
</cp:coreProperties>
</file>